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067" w:rsidRDefault="005A3067" w:rsidP="005A3067">
      <w:pPr>
        <w:spacing w:line="360" w:lineRule="auto"/>
        <w:jc w:val="both"/>
      </w:pPr>
    </w:p>
    <w:p w:rsidR="005A3067" w:rsidRDefault="005A3067" w:rsidP="005A3067">
      <w:pPr>
        <w:rPr>
          <w:sz w:val="28"/>
        </w:rPr>
      </w:pPr>
      <w:r>
        <w:rPr>
          <w:rFonts w:ascii="Arial" w:hAnsi="Arial" w:cs="Arial"/>
          <w:noProof/>
          <w:u w:val="single"/>
          <w:lang w:val="en-IN" w:eastAsia="en-IN"/>
        </w:rPr>
        <w:drawing>
          <wp:inline distT="0" distB="0" distL="0" distR="0">
            <wp:extent cx="5370195" cy="508000"/>
            <wp:effectExtent l="19050" t="0" r="1905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0195" cy="50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3067" w:rsidRDefault="005A3067" w:rsidP="005A3067">
      <w:pPr>
        <w:rPr>
          <w:sz w:val="28"/>
        </w:rPr>
      </w:pPr>
    </w:p>
    <w:p w:rsidR="005A3067" w:rsidRDefault="005A3067" w:rsidP="005A3067">
      <w:pPr>
        <w:rPr>
          <w:sz w:val="28"/>
        </w:rPr>
      </w:pPr>
      <w:r>
        <w:rPr>
          <w:sz w:val="28"/>
        </w:rPr>
        <w:t>From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To</w:t>
      </w:r>
    </w:p>
    <w:p w:rsidR="005A3067" w:rsidRPr="00BA6088" w:rsidRDefault="005A3067" w:rsidP="005A3067">
      <w:pPr>
        <w:rPr>
          <w:sz w:val="28"/>
        </w:rPr>
      </w:pPr>
      <w:r>
        <w:rPr>
          <w:sz w:val="28"/>
        </w:rPr>
        <w:t xml:space="preserve">Sri </w:t>
      </w:r>
      <w:proofErr w:type="spellStart"/>
      <w:r>
        <w:rPr>
          <w:sz w:val="28"/>
        </w:rPr>
        <w:t>P.Chinatataih</w:t>
      </w:r>
      <w:proofErr w:type="spellEnd"/>
      <w:r>
        <w:rPr>
          <w:sz w:val="28"/>
        </w:rPr>
        <w:t xml:space="preserve">,                                  </w:t>
      </w:r>
      <w:proofErr w:type="gramStart"/>
      <w:r>
        <w:rPr>
          <w:sz w:val="28"/>
        </w:rPr>
        <w:t>The</w:t>
      </w:r>
      <w:proofErr w:type="gramEnd"/>
      <w:r>
        <w:rPr>
          <w:sz w:val="28"/>
        </w:rPr>
        <w:t xml:space="preserve"> Project Directors,</w:t>
      </w:r>
    </w:p>
    <w:p w:rsidR="005A3067" w:rsidRPr="00E64F02" w:rsidRDefault="005A3067" w:rsidP="005A3067">
      <w:pPr>
        <w:rPr>
          <w:sz w:val="28"/>
        </w:rPr>
      </w:pPr>
      <w:r>
        <w:rPr>
          <w:sz w:val="28"/>
        </w:rPr>
        <w:t xml:space="preserve">Special </w:t>
      </w:r>
      <w:proofErr w:type="spellStart"/>
      <w:r w:rsidRPr="00E64F02">
        <w:rPr>
          <w:sz w:val="28"/>
        </w:rPr>
        <w:t>Director,ME</w:t>
      </w:r>
      <w:r>
        <w:rPr>
          <w:sz w:val="28"/>
        </w:rPr>
        <w:t>PMA</w:t>
      </w:r>
      <w:proofErr w:type="spellEnd"/>
      <w:r>
        <w:rPr>
          <w:sz w:val="28"/>
        </w:rPr>
        <w:t xml:space="preserve">                     MEPMA</w:t>
      </w:r>
      <w:r w:rsidRPr="00E64F02">
        <w:rPr>
          <w:sz w:val="28"/>
        </w:rPr>
        <w:t>.</w:t>
      </w:r>
    </w:p>
    <w:p w:rsidR="005A3067" w:rsidRDefault="005A3067" w:rsidP="005A3067">
      <w:pPr>
        <w:ind w:left="5760" w:hanging="5760"/>
        <w:rPr>
          <w:sz w:val="28"/>
        </w:rPr>
      </w:pPr>
      <w:smartTag w:uri="urn:schemas-microsoft-com:office:smarttags" w:element="place">
        <w:smartTag w:uri="urn:schemas-microsoft-com:office:smarttags" w:element="City">
          <w:r w:rsidRPr="00297396">
            <w:rPr>
              <w:sz w:val="28"/>
            </w:rPr>
            <w:t>Hyderabad</w:t>
          </w:r>
        </w:smartTag>
      </w:smartTag>
      <w:r w:rsidRPr="00297396">
        <w:rPr>
          <w:sz w:val="28"/>
        </w:rPr>
        <w:t xml:space="preserve">.    </w:t>
      </w:r>
      <w:r>
        <w:rPr>
          <w:sz w:val="28"/>
        </w:rPr>
        <w:t xml:space="preserve">                                        </w:t>
      </w:r>
      <w:proofErr w:type="spellStart"/>
      <w:r>
        <w:rPr>
          <w:sz w:val="28"/>
        </w:rPr>
        <w:t>Govt.of</w:t>
      </w:r>
      <w:proofErr w:type="spellEnd"/>
      <w:r>
        <w:rPr>
          <w:sz w:val="28"/>
        </w:rPr>
        <w:t xml:space="preserve"> ÄP, Hyderabad.                                 </w:t>
      </w:r>
    </w:p>
    <w:p w:rsidR="005A3067" w:rsidRDefault="005A3067" w:rsidP="005A3067">
      <w:pPr>
        <w:ind w:left="5040" w:hanging="5040"/>
        <w:rPr>
          <w:sz w:val="28"/>
        </w:rPr>
      </w:pPr>
    </w:p>
    <w:p w:rsidR="005A3067" w:rsidRPr="00A96AE4" w:rsidRDefault="005A3067" w:rsidP="005A3067">
      <w:pPr>
        <w:ind w:left="5040" w:hanging="5040"/>
        <w:rPr>
          <w:b/>
          <w:u w:val="single"/>
        </w:rPr>
      </w:pPr>
      <w:r>
        <w:rPr>
          <w:sz w:val="28"/>
        </w:rPr>
        <w:t>Sir,</w:t>
      </w:r>
      <w:r w:rsidRPr="00A96AE4">
        <w:rPr>
          <w:sz w:val="28"/>
        </w:rPr>
        <w:t xml:space="preserve">                                            </w:t>
      </w:r>
    </w:p>
    <w:p w:rsidR="005A3067" w:rsidRPr="00414BF3" w:rsidRDefault="005A3067" w:rsidP="005A3067">
      <w:pPr>
        <w:ind w:left="1440"/>
        <w:jc w:val="both"/>
        <w:rPr>
          <w:u w:val="single"/>
        </w:rPr>
      </w:pPr>
      <w:r w:rsidRPr="00414BF3">
        <w:rPr>
          <w:b/>
          <w:u w:val="single"/>
        </w:rPr>
        <w:t>Lr Roc. No.</w:t>
      </w:r>
      <w:r>
        <w:rPr>
          <w:b/>
          <w:u w:val="single"/>
        </w:rPr>
        <w:t xml:space="preserve"> 4265/APMAS/2015 </w:t>
      </w:r>
      <w:r>
        <w:tab/>
      </w:r>
      <w:r w:rsidRPr="00414BF3">
        <w:rPr>
          <w:b/>
          <w:u w:val="single"/>
        </w:rPr>
        <w:t xml:space="preserve">dated </w:t>
      </w:r>
      <w:r>
        <w:rPr>
          <w:b/>
          <w:u w:val="single"/>
        </w:rPr>
        <w:t>6.9.2015.</w:t>
      </w:r>
    </w:p>
    <w:p w:rsidR="005A3067" w:rsidRPr="00414BF3" w:rsidRDefault="005A3067" w:rsidP="005A3067">
      <w:pPr>
        <w:ind w:left="720"/>
        <w:jc w:val="both"/>
        <w:rPr>
          <w:u w:val="single"/>
        </w:rPr>
      </w:pPr>
    </w:p>
    <w:p w:rsidR="005A3067" w:rsidRDefault="005A3067" w:rsidP="005A3067">
      <w:pPr>
        <w:ind w:left="1560" w:hanging="1020"/>
        <w:jc w:val="both"/>
      </w:pPr>
      <w:r w:rsidRPr="00335D99">
        <w:t xml:space="preserve">   </w:t>
      </w:r>
      <w:r w:rsidRPr="002F1DA3">
        <w:rPr>
          <w:b/>
        </w:rPr>
        <w:t>Sub</w:t>
      </w:r>
      <w:proofErr w:type="gramStart"/>
      <w:r>
        <w:t>:-</w:t>
      </w:r>
      <w:proofErr w:type="gramEnd"/>
      <w:r>
        <w:t xml:space="preserve">  MEPMA – Training to SHG members on Capital Infusion &amp; other activities of MEPMA in Non-NULM towns – certain instructions – issued - regd. </w:t>
      </w:r>
    </w:p>
    <w:p w:rsidR="005A3067" w:rsidRDefault="005A3067" w:rsidP="005A3067">
      <w:pPr>
        <w:ind w:left="1418" w:hanging="878"/>
        <w:jc w:val="both"/>
        <w:rPr>
          <w:lang w:val="pt-BR"/>
        </w:rPr>
      </w:pPr>
      <w:r w:rsidRPr="00B573AF">
        <w:rPr>
          <w:b/>
        </w:rPr>
        <w:t xml:space="preserve">   </w:t>
      </w:r>
      <w:r w:rsidRPr="00E26E97">
        <w:rPr>
          <w:b/>
          <w:lang w:val="pt-BR"/>
        </w:rPr>
        <w:t>Ref</w:t>
      </w:r>
      <w:r>
        <w:rPr>
          <w:lang w:val="pt-BR"/>
        </w:rPr>
        <w:t xml:space="preserve">:      1.This office circular No 681/SHG-RF/NULM/MEPMA dated 29.7.2015. </w:t>
      </w:r>
    </w:p>
    <w:p w:rsidR="005A3067" w:rsidRPr="003B66BC" w:rsidRDefault="005A3067" w:rsidP="005A3067">
      <w:pPr>
        <w:ind w:left="1418" w:hanging="878"/>
        <w:jc w:val="both"/>
        <w:rPr>
          <w:lang w:val="pt-BR"/>
        </w:rPr>
      </w:pPr>
      <w:r w:rsidRPr="003B66BC">
        <w:rPr>
          <w:lang w:val="pt-BR"/>
        </w:rPr>
        <w:t xml:space="preserve">                2.PDs conference held on 28th and 29th Sep’2015 at Vijayawada.</w:t>
      </w:r>
    </w:p>
    <w:p w:rsidR="005A3067" w:rsidRDefault="005A3067" w:rsidP="005A3067">
      <w:pPr>
        <w:ind w:left="4140"/>
        <w:jc w:val="both"/>
      </w:pPr>
      <w:r>
        <w:t xml:space="preserve">* * *                                                                               </w:t>
      </w:r>
    </w:p>
    <w:p w:rsidR="005A3067" w:rsidRDefault="005A3067" w:rsidP="005A3067">
      <w:pPr>
        <w:spacing w:line="360" w:lineRule="auto"/>
        <w:jc w:val="both"/>
      </w:pPr>
      <w:r>
        <w:t xml:space="preserve">              </w:t>
      </w:r>
    </w:p>
    <w:p w:rsidR="005A3067" w:rsidRDefault="005A3067" w:rsidP="005A3067">
      <w:pPr>
        <w:spacing w:line="360" w:lineRule="auto"/>
        <w:jc w:val="both"/>
      </w:pPr>
      <w:r>
        <w:t xml:space="preserve">            In the reference cited, detailed guidelines were communicated to all PDs regarding conducting of orientation </w:t>
      </w:r>
      <w:proofErr w:type="spellStart"/>
      <w:r>
        <w:t>programmes</w:t>
      </w:r>
      <w:proofErr w:type="spellEnd"/>
      <w:r>
        <w:t xml:space="preserve"> to all SHG members at slum level through CRPs and PDs have requested to clarify the mode of release of funds to Non-</w:t>
      </w:r>
      <w:proofErr w:type="gramStart"/>
      <w:r>
        <w:t>NULM ,</w:t>
      </w:r>
      <w:proofErr w:type="gramEnd"/>
      <w:r>
        <w:t xml:space="preserve"> as there are no funds available under Non-NULM. In this connection PDs are requested to release the required funds for the above purpose to TLFs from the available funds subject to recoupment from Non-NULM funds soon after they are received and ensure that training </w:t>
      </w:r>
      <w:proofErr w:type="spellStart"/>
      <w:r>
        <w:t>programmes</w:t>
      </w:r>
      <w:proofErr w:type="spellEnd"/>
      <w:r>
        <w:t xml:space="preserve"> would be completed by 30</w:t>
      </w:r>
      <w:r w:rsidRPr="003B66BC">
        <w:rPr>
          <w:vertAlign w:val="superscript"/>
        </w:rPr>
        <w:t>th</w:t>
      </w:r>
      <w:r>
        <w:t xml:space="preserve"> Sep’15, without fail.</w:t>
      </w:r>
    </w:p>
    <w:p w:rsidR="005A3067" w:rsidRDefault="005A3067" w:rsidP="005A3067">
      <w:pPr>
        <w:spacing w:line="360" w:lineRule="auto"/>
        <w:jc w:val="both"/>
      </w:pPr>
      <w:r>
        <w:t xml:space="preserve">                     PDs are also requested to utilize the CLRPs as CRPs in non-NULM towns and pay remuneration for 18 days through TLFs @ Rs 175/- per day of work or training </w:t>
      </w:r>
    </w:p>
    <w:p w:rsidR="005A3067" w:rsidRDefault="005A3067" w:rsidP="005A3067">
      <w:pPr>
        <w:spacing w:line="360" w:lineRule="auto"/>
        <w:jc w:val="both"/>
      </w:pPr>
    </w:p>
    <w:p w:rsidR="005A3067" w:rsidRDefault="005A3067" w:rsidP="005A3067">
      <w:pPr>
        <w:spacing w:line="360" w:lineRule="auto"/>
        <w:jc w:val="both"/>
        <w:rPr>
          <w:sz w:val="28"/>
          <w:szCs w:val="28"/>
        </w:rPr>
      </w:pPr>
      <w:r>
        <w:t xml:space="preserve">                                                                        </w:t>
      </w:r>
      <w:r w:rsidRPr="005D4552">
        <w:rPr>
          <w:sz w:val="28"/>
          <w:szCs w:val="28"/>
        </w:rPr>
        <w:t>Yours faithfully,</w:t>
      </w:r>
    </w:p>
    <w:p w:rsidR="005A3067" w:rsidRDefault="005A3067" w:rsidP="005A306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</w:t>
      </w:r>
      <w:proofErr w:type="spellStart"/>
      <w:proofErr w:type="gramStart"/>
      <w:r>
        <w:rPr>
          <w:sz w:val="28"/>
          <w:szCs w:val="28"/>
        </w:rPr>
        <w:t>sd</w:t>
      </w:r>
      <w:proofErr w:type="spellEnd"/>
      <w:proofErr w:type="gramEnd"/>
      <w:r>
        <w:rPr>
          <w:sz w:val="28"/>
          <w:szCs w:val="28"/>
        </w:rPr>
        <w:t xml:space="preserve">/-             </w:t>
      </w:r>
    </w:p>
    <w:p w:rsidR="005A3067" w:rsidRDefault="005A3067" w:rsidP="005A3067">
      <w:pPr>
        <w:spacing w:line="360" w:lineRule="auto"/>
        <w:jc w:val="both"/>
      </w:pPr>
      <w:r w:rsidRPr="005D4552"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Special Director</w:t>
      </w:r>
      <w:r w:rsidRPr="005D4552">
        <w:rPr>
          <w:sz w:val="28"/>
          <w:szCs w:val="28"/>
        </w:rPr>
        <w:t>, MEPMA</w:t>
      </w:r>
    </w:p>
    <w:p w:rsidR="005A3067" w:rsidRDefault="005A3067" w:rsidP="005A3067">
      <w:pPr>
        <w:rPr>
          <w:rFonts w:ascii="Arial" w:hAnsi="Arial" w:cs="Arial"/>
          <w:b/>
          <w:bCs/>
          <w:color w:val="333333"/>
          <w:sz w:val="17"/>
          <w:szCs w:val="17"/>
        </w:rPr>
      </w:pPr>
    </w:p>
    <w:p w:rsidR="005A3067" w:rsidRDefault="005A3067" w:rsidP="005A3067">
      <w:pPr>
        <w:jc w:val="both"/>
      </w:pPr>
    </w:p>
    <w:p w:rsidR="005A3067" w:rsidRDefault="005A3067" w:rsidP="005A3067">
      <w:pPr>
        <w:spacing w:line="360" w:lineRule="auto"/>
        <w:jc w:val="both"/>
      </w:pPr>
    </w:p>
    <w:p w:rsidR="005A3067" w:rsidRDefault="005A3067" w:rsidP="005A3067">
      <w:pPr>
        <w:spacing w:line="360" w:lineRule="auto"/>
        <w:jc w:val="both"/>
      </w:pPr>
    </w:p>
    <w:p w:rsidR="005A3067" w:rsidRDefault="005A3067" w:rsidP="005A3067">
      <w:pPr>
        <w:spacing w:line="360" w:lineRule="auto"/>
        <w:jc w:val="both"/>
      </w:pPr>
    </w:p>
    <w:p w:rsidR="005A3067" w:rsidRDefault="005A3067" w:rsidP="005A3067">
      <w:pPr>
        <w:spacing w:line="360" w:lineRule="auto"/>
        <w:jc w:val="both"/>
      </w:pPr>
    </w:p>
    <w:p w:rsidR="00072B05" w:rsidRDefault="005A3067"/>
    <w:sectPr w:rsidR="00072B05" w:rsidSect="00B630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20"/>
  <w:characterSpacingControl w:val="doNotCompress"/>
  <w:compat/>
  <w:rsids>
    <w:rsidRoot w:val="005A3067"/>
    <w:rsid w:val="005A3067"/>
    <w:rsid w:val="006A77F0"/>
    <w:rsid w:val="00B630C8"/>
    <w:rsid w:val="00FF6D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30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30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067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268</Words>
  <Characters>1534</Characters>
  <Application>Microsoft Office Word</Application>
  <DocSecurity>0</DocSecurity>
  <Lines>12</Lines>
  <Paragraphs>3</Paragraphs>
  <ScaleCrop>false</ScaleCrop>
  <Company>Microsoft</Company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2015-09-30T10:09:00Z</dcterms:created>
  <dcterms:modified xsi:type="dcterms:W3CDTF">2015-09-30T10:10:00Z</dcterms:modified>
</cp:coreProperties>
</file>