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spacing w:line="360" w:lineRule="auto"/>
        <w:jc w:val="both"/>
      </w:pPr>
      <w:r>
        <w:t xml:space="preserve"> </w:t>
      </w:r>
      <w:r>
        <w:rPr>
          <w:rFonts w:ascii="Arial" w:hAnsi="Arial" w:cs="Arial"/>
          <w:noProof/>
          <w:u w:val="single"/>
          <w:lang w:val="en-IN" w:eastAsia="en-IN"/>
        </w:rPr>
        <w:drawing>
          <wp:inline distT="0" distB="0" distL="0" distR="0">
            <wp:extent cx="53721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5372100" cy="514350"/>
                    </a:xfrm>
                    <a:prstGeom prst="rect">
                      <a:avLst/>
                    </a:prstGeom>
                    <a:noFill/>
                    <a:ln w="9525">
                      <a:noFill/>
                      <a:miter lim="800000"/>
                      <a:headEnd/>
                      <a:tailEnd/>
                    </a:ln>
                  </pic:spPr>
                </pic:pic>
              </a:graphicData>
            </a:graphic>
          </wp:inline>
        </w:drawing>
      </w:r>
    </w:p>
    <w:p w:rsidR="005105B8" w:rsidRDefault="005105B8" w:rsidP="005105B8">
      <w:pPr>
        <w:jc w:val="both"/>
      </w:pPr>
      <w:r>
        <w:t xml:space="preserve">                                                                               O/o the Mission </w:t>
      </w:r>
      <w:proofErr w:type="spellStart"/>
      <w:r>
        <w:t>Director</w:t>
      </w:r>
      <w:proofErr w:type="gramStart"/>
      <w:r>
        <w:t>,MEPMA</w:t>
      </w:r>
      <w:proofErr w:type="spellEnd"/>
      <w:proofErr w:type="gramEnd"/>
      <w:r>
        <w:t>,</w:t>
      </w:r>
    </w:p>
    <w:p w:rsidR="005105B8" w:rsidRDefault="005105B8" w:rsidP="005105B8">
      <w:pPr>
        <w:jc w:val="both"/>
      </w:pPr>
      <w:r>
        <w:t xml:space="preserve">                                                                    </w:t>
      </w:r>
      <w:proofErr w:type="spellStart"/>
      <w:r>
        <w:t>IIIrd</w:t>
      </w:r>
      <w:proofErr w:type="spellEnd"/>
      <w:r>
        <w:t xml:space="preserve"> Floor, E-in-C (PH) Office Complex,</w:t>
      </w:r>
    </w:p>
    <w:p w:rsidR="005105B8" w:rsidRDefault="005105B8" w:rsidP="005105B8">
      <w:pPr>
        <w:jc w:val="both"/>
      </w:pPr>
      <w:r>
        <w:t xml:space="preserve">                                                                                  </w:t>
      </w:r>
      <w:proofErr w:type="spellStart"/>
      <w:proofErr w:type="gramStart"/>
      <w:r>
        <w:t>A.C.Guards</w:t>
      </w:r>
      <w:proofErr w:type="spellEnd"/>
      <w:r>
        <w:t>, Hyderabad-500004.</w:t>
      </w:r>
      <w:proofErr w:type="gramEnd"/>
    </w:p>
    <w:p w:rsidR="005105B8" w:rsidRDefault="005105B8" w:rsidP="005105B8">
      <w:pPr>
        <w:jc w:val="both"/>
      </w:pPr>
    </w:p>
    <w:p w:rsidR="005105B8" w:rsidRDefault="005105B8" w:rsidP="005105B8">
      <w:pPr>
        <w:spacing w:line="360" w:lineRule="auto"/>
        <w:jc w:val="both"/>
      </w:pPr>
      <w:r>
        <w:t>Circular – 3082/IB/2012                                                                     dated 26.11.2015.</w:t>
      </w:r>
    </w:p>
    <w:p w:rsidR="005105B8" w:rsidRDefault="005105B8" w:rsidP="005105B8">
      <w:pPr>
        <w:ind w:left="1985" w:hanging="1985"/>
        <w:jc w:val="both"/>
      </w:pPr>
      <w:r>
        <w:t xml:space="preserve">                         Sub: NULM – TLFs as Resource Organization – release of 2</w:t>
      </w:r>
      <w:r w:rsidRPr="00C86FB4">
        <w:rPr>
          <w:vertAlign w:val="superscript"/>
        </w:rPr>
        <w:t>nd</w:t>
      </w:r>
      <w:r>
        <w:t xml:space="preserve"> spell of </w:t>
      </w:r>
      <w:proofErr w:type="gramStart"/>
      <w:r>
        <w:t>RO  funds</w:t>
      </w:r>
      <w:proofErr w:type="gramEnd"/>
      <w:r>
        <w:t xml:space="preserve"> to TLFs – to be utilized towards strengthening of SLFs and other trainings– certain instructions – issued – regd.</w:t>
      </w:r>
    </w:p>
    <w:p w:rsidR="005105B8" w:rsidRDefault="005105B8" w:rsidP="005105B8">
      <w:pPr>
        <w:ind w:left="1985" w:hanging="1985"/>
        <w:jc w:val="both"/>
      </w:pPr>
      <w:r>
        <w:t xml:space="preserve">                         Ref: 1.Operational guidelines under SM&amp;ID component communicated by GOI dated </w:t>
      </w:r>
    </w:p>
    <w:p w:rsidR="005105B8" w:rsidRDefault="005105B8" w:rsidP="005105B8">
      <w:pPr>
        <w:ind w:left="1985" w:hanging="1985"/>
        <w:jc w:val="both"/>
      </w:pPr>
      <w:r>
        <w:t xml:space="preserve">                                 2. Lr K-14014/12/2014-UPA 10279 dated 13.8.2014 from GOI.</w:t>
      </w:r>
    </w:p>
    <w:p w:rsidR="005105B8" w:rsidRDefault="005105B8" w:rsidP="005105B8">
      <w:pPr>
        <w:ind w:left="1985" w:hanging="1985"/>
        <w:jc w:val="both"/>
      </w:pPr>
      <w:r>
        <w:t xml:space="preserve">                                 3. This office Circular – 3082/IB/2012 dated 30.9.2014 addressed t Project Directors, Commissioners of NULM ULBs and TLF presidents.</w:t>
      </w:r>
    </w:p>
    <w:p w:rsidR="005105B8" w:rsidRDefault="005105B8" w:rsidP="005105B8">
      <w:pPr>
        <w:jc w:val="both"/>
      </w:pPr>
      <w:r>
        <w:t xml:space="preserve">                                 4. </w:t>
      </w:r>
      <w:proofErr w:type="spellStart"/>
      <w:r>
        <w:t>F.No</w:t>
      </w:r>
      <w:proofErr w:type="spellEnd"/>
      <w:r>
        <w:t xml:space="preserve"> K-14011/7/2013-UPA/FTS -9789 dated 3.8.2015.</w:t>
      </w:r>
    </w:p>
    <w:p w:rsidR="005105B8" w:rsidRDefault="005105B8" w:rsidP="005105B8">
      <w:pPr>
        <w:ind w:left="2268" w:hanging="2268"/>
        <w:jc w:val="both"/>
      </w:pPr>
      <w:r>
        <w:t xml:space="preserve">                                 5. Review meeting conducted with CMMU staff and PDs conference dated 28</w:t>
      </w:r>
      <w:r w:rsidRPr="00D1003C">
        <w:rPr>
          <w:vertAlign w:val="superscript"/>
        </w:rPr>
        <w:t>th</w:t>
      </w:r>
      <w:r>
        <w:t xml:space="preserve"> and 29</w:t>
      </w:r>
      <w:r w:rsidRPr="00D1003C">
        <w:rPr>
          <w:vertAlign w:val="superscript"/>
        </w:rPr>
        <w:t>th</w:t>
      </w:r>
      <w:r>
        <w:t xml:space="preserve"> of Aug’2015.</w:t>
      </w:r>
    </w:p>
    <w:p w:rsidR="005105B8" w:rsidRDefault="005105B8" w:rsidP="005105B8">
      <w:pPr>
        <w:spacing w:line="360" w:lineRule="auto"/>
        <w:jc w:val="both"/>
      </w:pPr>
      <w:r>
        <w:t xml:space="preserve">                                                        *****************</w:t>
      </w:r>
    </w:p>
    <w:p w:rsidR="005105B8" w:rsidRDefault="005105B8" w:rsidP="005105B8">
      <w:pPr>
        <w:spacing w:line="360" w:lineRule="auto"/>
        <w:jc w:val="both"/>
      </w:pPr>
      <w:r>
        <w:t xml:space="preserve">                    In the reference 1</w:t>
      </w:r>
      <w:r w:rsidRPr="00F97F5C">
        <w:rPr>
          <w:vertAlign w:val="superscript"/>
        </w:rPr>
        <w:t>st</w:t>
      </w:r>
      <w:r>
        <w:t xml:space="preserve"> cited, detailed operational guidelines were communicated from GOI for release of funds to ROs @ Rs 10000/- per SHG towards SHG strengthening. In the reference 2</w:t>
      </w:r>
      <w:r w:rsidRPr="00F97F5C">
        <w:rPr>
          <w:vertAlign w:val="superscript"/>
        </w:rPr>
        <w:t>nd</w:t>
      </w:r>
      <w:r>
        <w:t xml:space="preserve"> cited. GOI has in principle agreed to treat TLFs under MEPMA as </w:t>
      </w:r>
      <w:proofErr w:type="gramStart"/>
      <w:r>
        <w:t>ROs .</w:t>
      </w:r>
      <w:proofErr w:type="gramEnd"/>
      <w:r>
        <w:t xml:space="preserve"> Accordingly detailed circular guidelines communicated to PDs – for release of Rs 5000/- per SHG formed since 1.4.2014 under NULM and they are further instructed to utilize the same towards training of its members and Book keepers and other related activities. Accordingly PDs are being releasing RO funds to TLFs with the approval of the District </w:t>
      </w:r>
      <w:proofErr w:type="gramStart"/>
      <w:r>
        <w:t>Collectors .</w:t>
      </w:r>
      <w:proofErr w:type="gramEnd"/>
    </w:p>
    <w:p w:rsidR="005105B8" w:rsidRDefault="005105B8" w:rsidP="005105B8">
      <w:pPr>
        <w:spacing w:line="360" w:lineRule="auto"/>
        <w:jc w:val="both"/>
      </w:pPr>
      <w:r>
        <w:t xml:space="preserve">                  During Review meetings and PDs conference, field functionaries and PDs brought to notice that CBOs need further trainings on financial discipline, revival of defunct groups , strengthening of subcommittees, SHG/SLF/TLF Book keeping,  specific imputes on livelihoods , </w:t>
      </w:r>
      <w:proofErr w:type="spellStart"/>
      <w:r>
        <w:t>Health,gender</w:t>
      </w:r>
      <w:proofErr w:type="spellEnd"/>
      <w:r>
        <w:t xml:space="preserve">  and other convergence aspects. Hence, it is proposed to utilize the </w:t>
      </w:r>
      <w:proofErr w:type="gramStart"/>
      <w:r>
        <w:t>balance  RO</w:t>
      </w:r>
      <w:proofErr w:type="gramEnd"/>
      <w:r>
        <w:t xml:space="preserve"> funds of Rs 5000/- per SHG ( SHGs formed during 2014-15 and 2015-16) ) in 2</w:t>
      </w:r>
      <w:r w:rsidRPr="00DE34CF">
        <w:rPr>
          <w:vertAlign w:val="superscript"/>
        </w:rPr>
        <w:t>nd</w:t>
      </w:r>
      <w:r>
        <w:t xml:space="preserve"> spell to TLFs towards the above activities only in NULM towns. </w:t>
      </w:r>
    </w:p>
    <w:p w:rsidR="005105B8" w:rsidRDefault="005105B8" w:rsidP="005105B8">
      <w:pPr>
        <w:numPr>
          <w:ilvl w:val="0"/>
          <w:numId w:val="1"/>
        </w:numPr>
        <w:spacing w:line="360" w:lineRule="auto"/>
        <w:jc w:val="both"/>
      </w:pPr>
      <w:r>
        <w:t>TLFs from NULM ULBs would pass resolution giving the details of SHGs to which RO funds of Rs 5000/- are released in 1</w:t>
      </w:r>
      <w:r w:rsidRPr="009E28F0">
        <w:rPr>
          <w:vertAlign w:val="superscript"/>
        </w:rPr>
        <w:t>st</w:t>
      </w:r>
      <w:r>
        <w:t xml:space="preserve"> spell along with UC for 1</w:t>
      </w:r>
      <w:r w:rsidRPr="009E28F0">
        <w:rPr>
          <w:vertAlign w:val="superscript"/>
        </w:rPr>
        <w:t>st</w:t>
      </w:r>
      <w:r>
        <w:t xml:space="preserve"> spell funds – requesting to release 2</w:t>
      </w:r>
      <w:r w:rsidRPr="009E28F0">
        <w:rPr>
          <w:vertAlign w:val="superscript"/>
        </w:rPr>
        <w:t>nd</w:t>
      </w:r>
      <w:r>
        <w:t xml:space="preserve"> spell of RO funds to PDs.</w:t>
      </w:r>
    </w:p>
    <w:p w:rsidR="005105B8" w:rsidRDefault="005105B8" w:rsidP="005105B8">
      <w:pPr>
        <w:numPr>
          <w:ilvl w:val="0"/>
          <w:numId w:val="1"/>
        </w:numPr>
        <w:spacing w:line="360" w:lineRule="auto"/>
        <w:jc w:val="both"/>
      </w:pPr>
      <w:proofErr w:type="gramStart"/>
      <w:r>
        <w:lastRenderedPageBreak/>
        <w:t>PDs ,</w:t>
      </w:r>
      <w:proofErr w:type="gramEnd"/>
      <w:r>
        <w:t xml:space="preserve"> would release the same to the concerned TLFs with the approval of the District Collector from SM&amp;ID component funds of NULM.</w:t>
      </w:r>
    </w:p>
    <w:p w:rsidR="005105B8" w:rsidRDefault="005105B8" w:rsidP="005105B8">
      <w:pPr>
        <w:numPr>
          <w:ilvl w:val="0"/>
          <w:numId w:val="1"/>
        </w:numPr>
        <w:spacing w:line="360" w:lineRule="auto"/>
        <w:jc w:val="both"/>
      </w:pPr>
      <w:r>
        <w:t xml:space="preserve">TLFs shall in turn release to the SLFs </w:t>
      </w:r>
      <w:proofErr w:type="gramStart"/>
      <w:r>
        <w:t>equally  –</w:t>
      </w:r>
      <w:proofErr w:type="gramEnd"/>
      <w:r>
        <w:t xml:space="preserve"> towards strengthening of CBOs in the above mentioned subjects.</w:t>
      </w:r>
    </w:p>
    <w:p w:rsidR="005105B8" w:rsidRDefault="005105B8" w:rsidP="005105B8">
      <w:pPr>
        <w:numPr>
          <w:ilvl w:val="0"/>
          <w:numId w:val="1"/>
        </w:numPr>
        <w:spacing w:line="360" w:lineRule="auto"/>
        <w:jc w:val="both"/>
      </w:pPr>
      <w:r>
        <w:t>DMCs shall conduct orientation programme to TMCs/</w:t>
      </w:r>
      <w:proofErr w:type="spellStart"/>
      <w:r>
        <w:t>TPrOs</w:t>
      </w:r>
      <w:proofErr w:type="spellEnd"/>
      <w:r>
        <w:t xml:space="preserve"> and TLF OB members on </w:t>
      </w:r>
      <w:proofErr w:type="gramStart"/>
      <w:r>
        <w:t xml:space="preserve">its  </w:t>
      </w:r>
      <w:proofErr w:type="spellStart"/>
      <w:r>
        <w:t>utlisation</w:t>
      </w:r>
      <w:proofErr w:type="spellEnd"/>
      <w:proofErr w:type="gramEnd"/>
      <w:r>
        <w:t>.</w:t>
      </w:r>
    </w:p>
    <w:p w:rsidR="005105B8" w:rsidRDefault="005105B8" w:rsidP="005105B8">
      <w:pPr>
        <w:numPr>
          <w:ilvl w:val="0"/>
          <w:numId w:val="1"/>
        </w:numPr>
        <w:spacing w:line="360" w:lineRule="auto"/>
        <w:jc w:val="both"/>
      </w:pPr>
      <w:r>
        <w:t>DMCs/TMCs would facilitate the process and enable TLFs to prepare action plan in the above specific subjects and implement the same.</w:t>
      </w:r>
    </w:p>
    <w:p w:rsidR="005105B8" w:rsidRDefault="005105B8" w:rsidP="005105B8">
      <w:pPr>
        <w:numPr>
          <w:ilvl w:val="0"/>
          <w:numId w:val="1"/>
        </w:numPr>
        <w:spacing w:line="360" w:lineRule="auto"/>
        <w:jc w:val="both"/>
      </w:pPr>
      <w:r>
        <w:t xml:space="preserve">MEPMA norms shall be followed for the above trainings.  </w:t>
      </w:r>
    </w:p>
    <w:p w:rsidR="005105B8" w:rsidRDefault="005105B8" w:rsidP="005105B8">
      <w:pPr>
        <w:numPr>
          <w:ilvl w:val="0"/>
          <w:numId w:val="1"/>
        </w:numPr>
        <w:spacing w:line="360" w:lineRule="auto"/>
        <w:jc w:val="both"/>
      </w:pPr>
      <w:r>
        <w:t xml:space="preserve">PDs shall </w:t>
      </w:r>
      <w:proofErr w:type="gramStart"/>
      <w:r>
        <w:t>submit  the</w:t>
      </w:r>
      <w:proofErr w:type="gramEnd"/>
      <w:r>
        <w:t xml:space="preserve"> expenditure particulars under SM&amp;ID component to MEPMA office.</w:t>
      </w:r>
    </w:p>
    <w:p w:rsidR="005105B8" w:rsidRDefault="005105B8" w:rsidP="005105B8">
      <w:pPr>
        <w:numPr>
          <w:ilvl w:val="0"/>
          <w:numId w:val="1"/>
        </w:numPr>
        <w:spacing w:line="360" w:lineRule="auto"/>
        <w:jc w:val="both"/>
      </w:pPr>
      <w:r>
        <w:t>CRPs and DRPs from other towns would visit and verify in the field about fund flow mechanism from PD to TLF and TLF to SLF in 2</w:t>
      </w:r>
      <w:r w:rsidRPr="00945E90">
        <w:rPr>
          <w:vertAlign w:val="superscript"/>
        </w:rPr>
        <w:t>nd</w:t>
      </w:r>
      <w:r>
        <w:t xml:space="preserve"> week of Dec’2015 </w:t>
      </w:r>
      <w:proofErr w:type="gramStart"/>
      <w:r>
        <w:t>as  3</w:t>
      </w:r>
      <w:r w:rsidRPr="00945E90">
        <w:rPr>
          <w:vertAlign w:val="superscript"/>
        </w:rPr>
        <w:t>rd</w:t>
      </w:r>
      <w:proofErr w:type="gramEnd"/>
      <w:r>
        <w:t xml:space="preserve">  party monitoring.  .</w:t>
      </w:r>
    </w:p>
    <w:p w:rsidR="005105B8" w:rsidRDefault="005105B8" w:rsidP="005105B8">
      <w:pPr>
        <w:spacing w:line="360" w:lineRule="auto"/>
        <w:ind w:left="720"/>
        <w:jc w:val="both"/>
      </w:pPr>
    </w:p>
    <w:p w:rsidR="005105B8" w:rsidRDefault="005105B8" w:rsidP="005105B8">
      <w:pPr>
        <w:spacing w:line="360" w:lineRule="auto"/>
        <w:jc w:val="both"/>
      </w:pPr>
      <w:r>
        <w:t xml:space="preserve">              All PDs are instructed to ensure that the above amount would be released from NULM funds released vide </w:t>
      </w:r>
      <w:proofErr w:type="spellStart"/>
      <w:r>
        <w:t>progs</w:t>
      </w:r>
      <w:proofErr w:type="spellEnd"/>
      <w:r>
        <w:t xml:space="preserve"> no: 191/NULM/2015 dated 15.7.2015 before 1</w:t>
      </w:r>
      <w:r w:rsidRPr="001B7EEC">
        <w:rPr>
          <w:vertAlign w:val="superscript"/>
        </w:rPr>
        <w:t>st</w:t>
      </w:r>
      <w:r>
        <w:t xml:space="preserve"> week of Dec’2015 and intimate the compliance to MEPMA office on or before 10.12.2015.</w:t>
      </w:r>
    </w:p>
    <w:p w:rsidR="005105B8" w:rsidRDefault="005105B8" w:rsidP="005105B8">
      <w:pPr>
        <w:spacing w:line="360" w:lineRule="auto"/>
        <w:jc w:val="both"/>
      </w:pPr>
    </w:p>
    <w:p w:rsidR="005105B8" w:rsidRDefault="005105B8" w:rsidP="005105B8">
      <w:pPr>
        <w:spacing w:line="360" w:lineRule="auto"/>
        <w:jc w:val="both"/>
      </w:pPr>
    </w:p>
    <w:p w:rsidR="005105B8" w:rsidRDefault="005105B8" w:rsidP="005105B8">
      <w:pPr>
        <w:spacing w:line="360" w:lineRule="auto"/>
        <w:jc w:val="both"/>
      </w:pPr>
      <w:r>
        <w:t xml:space="preserve">                                                                             </w:t>
      </w:r>
      <w:proofErr w:type="spellStart"/>
      <w:proofErr w:type="gramStart"/>
      <w:r>
        <w:t>sd</w:t>
      </w:r>
      <w:proofErr w:type="spellEnd"/>
      <w:proofErr w:type="gramEnd"/>
      <w:r>
        <w:t xml:space="preserve">/- Sri  Solomon </w:t>
      </w:r>
      <w:proofErr w:type="spellStart"/>
      <w:r>
        <w:t>Arokia</w:t>
      </w:r>
      <w:proofErr w:type="spellEnd"/>
      <w:r>
        <w:t xml:space="preserve"> </w:t>
      </w:r>
      <w:proofErr w:type="spellStart"/>
      <w:r>
        <w:t>Raj,I.A.S</w:t>
      </w:r>
      <w:proofErr w:type="spellEnd"/>
      <w:r>
        <w:t>.,</w:t>
      </w:r>
    </w:p>
    <w:p w:rsidR="005105B8" w:rsidRDefault="005105B8" w:rsidP="005105B8">
      <w:pPr>
        <w:jc w:val="both"/>
      </w:pPr>
      <w:r>
        <w:t xml:space="preserve">                                                                                          Mission Director,</w:t>
      </w:r>
    </w:p>
    <w:p w:rsidR="005105B8" w:rsidRDefault="005105B8" w:rsidP="005105B8">
      <w:pPr>
        <w:jc w:val="both"/>
      </w:pPr>
      <w:r>
        <w:t xml:space="preserve">                                                                                          </w:t>
      </w:r>
      <w:proofErr w:type="gramStart"/>
      <w:r>
        <w:t>MEPMA.</w:t>
      </w:r>
      <w:proofErr w:type="gramEnd"/>
      <w:r>
        <w:t xml:space="preserve">       </w:t>
      </w: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r>
        <w:t>Encl; Details - NULM ULB wise</w:t>
      </w: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ind w:right="-149"/>
        <w:jc w:val="both"/>
      </w:pPr>
      <w:proofErr w:type="gramStart"/>
      <w:r>
        <w:t>Details of RO funds to be released in NULM ULBs.</w:t>
      </w:r>
      <w:proofErr w:type="gramEnd"/>
      <w:r>
        <w:t xml:space="preserve">                                              </w:t>
      </w:r>
      <w:proofErr w:type="gramStart"/>
      <w:r>
        <w:t>in</w:t>
      </w:r>
      <w:proofErr w:type="gramEnd"/>
      <w:r>
        <w:t xml:space="preserve"> Rupees                                                                                                            </w:t>
      </w:r>
    </w:p>
    <w:p w:rsidR="005105B8" w:rsidRDefault="005105B8" w:rsidP="005105B8">
      <w:pPr>
        <w:jc w:val="both"/>
      </w:pPr>
    </w:p>
    <w:tbl>
      <w:tblPr>
        <w:tblW w:w="11341" w:type="dxa"/>
        <w:tblInd w:w="-1168" w:type="dxa"/>
        <w:tblLayout w:type="fixed"/>
        <w:tblLook w:val="04A0"/>
      </w:tblPr>
      <w:tblGrid>
        <w:gridCol w:w="703"/>
        <w:gridCol w:w="1282"/>
        <w:gridCol w:w="1480"/>
        <w:gridCol w:w="1480"/>
        <w:gridCol w:w="1203"/>
        <w:gridCol w:w="993"/>
        <w:gridCol w:w="1648"/>
        <w:gridCol w:w="1276"/>
        <w:gridCol w:w="1276"/>
      </w:tblGrid>
      <w:tr w:rsidR="005105B8" w:rsidRPr="00876925" w:rsidTr="00F26BCF">
        <w:trPr>
          <w:trHeight w:val="360"/>
        </w:trPr>
        <w:tc>
          <w:tcPr>
            <w:tcW w:w="703" w:type="dxa"/>
            <w:vMerge w:val="restart"/>
            <w:tcBorders>
              <w:top w:val="single" w:sz="4" w:space="0" w:color="auto"/>
              <w:left w:val="single" w:sz="4" w:space="0" w:color="auto"/>
              <w:bottom w:val="single" w:sz="4" w:space="0" w:color="auto"/>
              <w:right w:val="single" w:sz="4" w:space="0" w:color="auto"/>
            </w:tcBorders>
            <w:shd w:val="clear" w:color="000000" w:fill="3399FF"/>
            <w:vAlign w:val="bottom"/>
            <w:hideMark/>
          </w:tcPr>
          <w:p w:rsidR="005105B8" w:rsidRPr="00876925" w:rsidRDefault="005105B8" w:rsidP="00F26BCF">
            <w:pPr>
              <w:ind w:left="-60" w:firstLine="60"/>
              <w:jc w:val="center"/>
              <w:rPr>
                <w:b/>
                <w:bCs/>
                <w:color w:val="000000"/>
                <w:lang w:val="en-IN" w:eastAsia="en-IN"/>
              </w:rPr>
            </w:pPr>
            <w:proofErr w:type="spellStart"/>
            <w:r w:rsidRPr="00876925">
              <w:rPr>
                <w:b/>
                <w:bCs/>
                <w:color w:val="000000"/>
                <w:lang w:val="en-IN" w:eastAsia="en-IN"/>
              </w:rPr>
              <w:t>S.No</w:t>
            </w:r>
            <w:proofErr w:type="spellEnd"/>
            <w:r w:rsidRPr="00876925">
              <w:rPr>
                <w:b/>
                <w:bCs/>
                <w:color w:val="000000"/>
                <w:lang w:val="en-IN" w:eastAsia="en-IN"/>
              </w:rPr>
              <w:t xml:space="preserve"> </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Municipality</w:t>
            </w:r>
          </w:p>
        </w:tc>
        <w:tc>
          <w:tcPr>
            <w:tcW w:w="2960" w:type="dxa"/>
            <w:gridSpan w:val="2"/>
            <w:tcBorders>
              <w:top w:val="single" w:sz="4" w:space="0" w:color="auto"/>
              <w:left w:val="nil"/>
              <w:bottom w:val="single" w:sz="4" w:space="0" w:color="auto"/>
              <w:right w:val="single" w:sz="4" w:space="0" w:color="000000"/>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2014-15</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2nd spell to be released @ Rs 5000/- to each SHG</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 xml:space="preserve">To be released 1st spell </w:t>
            </w:r>
          </w:p>
        </w:tc>
        <w:tc>
          <w:tcPr>
            <w:tcW w:w="1648" w:type="dxa"/>
            <w:vMerge w:val="restart"/>
            <w:tcBorders>
              <w:top w:val="single" w:sz="4" w:space="0" w:color="auto"/>
              <w:left w:val="single" w:sz="4" w:space="0" w:color="auto"/>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Amount</w:t>
            </w:r>
          </w:p>
        </w:tc>
        <w:tc>
          <w:tcPr>
            <w:tcW w:w="2552" w:type="dxa"/>
            <w:gridSpan w:val="2"/>
            <w:tcBorders>
              <w:top w:val="single" w:sz="4" w:space="0" w:color="auto"/>
              <w:left w:val="nil"/>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2015-16</w:t>
            </w:r>
          </w:p>
        </w:tc>
      </w:tr>
      <w:tr w:rsidR="005105B8" w:rsidRPr="00876925" w:rsidTr="00F26BCF">
        <w:trPr>
          <w:trHeight w:val="20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105B8" w:rsidRPr="00876925" w:rsidRDefault="005105B8" w:rsidP="00F26BCF">
            <w:pPr>
              <w:rPr>
                <w:b/>
                <w:bCs/>
                <w:color w:val="000000"/>
                <w:lang w:val="en-IN" w:eastAsia="en-IN"/>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105B8" w:rsidRPr="00876925" w:rsidRDefault="005105B8" w:rsidP="00F26BCF">
            <w:pPr>
              <w:rPr>
                <w:b/>
                <w:bCs/>
                <w:color w:val="000000"/>
                <w:lang w:val="en-IN" w:eastAsia="en-IN"/>
              </w:rPr>
            </w:pPr>
          </w:p>
        </w:tc>
        <w:tc>
          <w:tcPr>
            <w:tcW w:w="1480" w:type="dxa"/>
            <w:tcBorders>
              <w:top w:val="nil"/>
              <w:left w:val="nil"/>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SHGs formed during 2014-15</w:t>
            </w:r>
          </w:p>
        </w:tc>
        <w:tc>
          <w:tcPr>
            <w:tcW w:w="1480" w:type="dxa"/>
            <w:tcBorders>
              <w:top w:val="nil"/>
              <w:left w:val="nil"/>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RO funds released</w:t>
            </w: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5105B8" w:rsidRPr="00876925" w:rsidRDefault="005105B8" w:rsidP="00F26BCF">
            <w:pPr>
              <w:rPr>
                <w:b/>
                <w:bCs/>
                <w:color w:val="000000"/>
                <w:lang w:val="en-IN" w:eastAsia="en-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05B8" w:rsidRPr="00876925" w:rsidRDefault="005105B8" w:rsidP="00F26BCF">
            <w:pPr>
              <w:rPr>
                <w:b/>
                <w:bCs/>
                <w:color w:val="000000"/>
                <w:lang w:val="en-IN" w:eastAsia="en-IN"/>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5105B8" w:rsidRPr="00876925" w:rsidRDefault="005105B8" w:rsidP="00F26BCF">
            <w:pPr>
              <w:rPr>
                <w:b/>
                <w:bCs/>
                <w:color w:val="000000"/>
                <w:lang w:val="en-IN" w:eastAsia="en-IN"/>
              </w:rPr>
            </w:pPr>
          </w:p>
        </w:tc>
        <w:tc>
          <w:tcPr>
            <w:tcW w:w="1276" w:type="dxa"/>
            <w:tcBorders>
              <w:top w:val="nil"/>
              <w:left w:val="nil"/>
              <w:bottom w:val="single" w:sz="4" w:space="0" w:color="auto"/>
              <w:right w:val="single" w:sz="4" w:space="0" w:color="auto"/>
            </w:tcBorders>
            <w:shd w:val="clear" w:color="000000" w:fill="3399FF"/>
            <w:vAlign w:val="bottom"/>
            <w:hideMark/>
          </w:tcPr>
          <w:p w:rsidR="005105B8" w:rsidRPr="00876925" w:rsidRDefault="005105B8" w:rsidP="00F26BCF">
            <w:pPr>
              <w:jc w:val="center"/>
              <w:rPr>
                <w:b/>
                <w:bCs/>
                <w:color w:val="000000"/>
                <w:lang w:val="en-IN" w:eastAsia="en-IN"/>
              </w:rPr>
            </w:pPr>
            <w:proofErr w:type="spellStart"/>
            <w:r w:rsidRPr="00876925">
              <w:rPr>
                <w:b/>
                <w:bCs/>
                <w:color w:val="000000"/>
                <w:lang w:val="en-IN" w:eastAsia="en-IN"/>
              </w:rPr>
              <w:t>No.of</w:t>
            </w:r>
            <w:proofErr w:type="spellEnd"/>
            <w:r w:rsidRPr="00876925">
              <w:rPr>
                <w:b/>
                <w:bCs/>
                <w:color w:val="000000"/>
                <w:lang w:val="en-IN" w:eastAsia="en-IN"/>
              </w:rPr>
              <w:t xml:space="preserve"> SHGs formed during 2015-16</w:t>
            </w:r>
          </w:p>
        </w:tc>
        <w:tc>
          <w:tcPr>
            <w:tcW w:w="1276" w:type="dxa"/>
            <w:tcBorders>
              <w:top w:val="nil"/>
              <w:left w:val="nil"/>
              <w:bottom w:val="single" w:sz="4" w:space="0" w:color="auto"/>
              <w:right w:val="single" w:sz="4" w:space="0" w:color="auto"/>
            </w:tcBorders>
            <w:shd w:val="clear" w:color="000000" w:fill="3399FF"/>
            <w:vAlign w:val="bottom"/>
            <w:hideMark/>
          </w:tcPr>
          <w:p w:rsidR="005105B8" w:rsidRPr="00876925" w:rsidRDefault="006E7E16" w:rsidP="00F26BCF">
            <w:pPr>
              <w:jc w:val="center"/>
              <w:rPr>
                <w:b/>
                <w:bCs/>
                <w:color w:val="000000"/>
                <w:lang w:val="en-IN" w:eastAsia="en-IN"/>
              </w:rPr>
            </w:pPr>
            <w:r>
              <w:rPr>
                <w:b/>
                <w:bCs/>
                <w:color w:val="000000"/>
                <w:lang w:val="en-IN" w:eastAsia="en-IN"/>
              </w:rPr>
              <w:t>RO fund</w:t>
            </w:r>
            <w:r w:rsidR="005105B8" w:rsidRPr="00876925">
              <w:rPr>
                <w:b/>
                <w:bCs/>
                <w:color w:val="000000"/>
                <w:lang w:val="en-IN" w:eastAsia="en-IN"/>
              </w:rPr>
              <w:t xml:space="preserve">s </w:t>
            </w:r>
            <w:r>
              <w:rPr>
                <w:b/>
                <w:bCs/>
                <w:color w:val="000000"/>
                <w:lang w:val="en-IN" w:eastAsia="en-IN"/>
              </w:rPr>
              <w:t xml:space="preserve">to be </w:t>
            </w:r>
            <w:r w:rsidR="005105B8" w:rsidRPr="00876925">
              <w:rPr>
                <w:b/>
                <w:bCs/>
                <w:color w:val="000000"/>
                <w:lang w:val="en-IN" w:eastAsia="en-IN"/>
              </w:rPr>
              <w:t>released</w:t>
            </w:r>
            <w:r>
              <w:rPr>
                <w:b/>
                <w:bCs/>
                <w:color w:val="000000"/>
                <w:lang w:val="en-IN" w:eastAsia="en-IN"/>
              </w:rPr>
              <w:t xml:space="preserve"> (1</w:t>
            </w:r>
            <w:r w:rsidRPr="006E7E16">
              <w:rPr>
                <w:b/>
                <w:bCs/>
                <w:color w:val="000000"/>
                <w:vertAlign w:val="superscript"/>
                <w:lang w:val="en-IN" w:eastAsia="en-IN"/>
              </w:rPr>
              <w:t>st</w:t>
            </w:r>
            <w:r>
              <w:rPr>
                <w:b/>
                <w:bCs/>
                <w:color w:val="000000"/>
                <w:lang w:val="en-IN" w:eastAsia="en-IN"/>
              </w:rPr>
              <w:t xml:space="preserve"> spell)</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Ananthapur</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134</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63</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315000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71</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355000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Dharmavaram</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37</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31</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Guntakal</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60</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100000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Hindupur</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82</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410000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33</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Tadipatri</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54</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42</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210000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12</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120000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Chittoor</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145</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145</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725000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Madanapalle</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72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72</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360000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Tirupathi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167</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167</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835000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59</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295000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Kakinada</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187</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187</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935000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10</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Rajahmundry</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230</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230</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1150000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Chilakaluripet</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71</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33</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38</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190000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12</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Guntur</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217</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118</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590000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99</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495000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56</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280000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Mangalagiri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75</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41</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34</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170000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31</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14</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Narasaraopet</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83</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83</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415000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22</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Tenali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41</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28</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140000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GVMC</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1672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 </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1672</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8360000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17</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Kadapa</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164</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164</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820000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55</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275000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18</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Proddatur</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72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72</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360000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19</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Gudivada</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40</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40</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52</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260000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20</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Machilipatnam</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79</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76</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380000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38</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190000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21</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Adoni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66</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120000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42</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210000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36</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180000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22</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Kurnool</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205</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48</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157</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785000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23</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Nandyal</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112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26</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86</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430000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26</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Nellore</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371</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 </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371</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1855000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71</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355000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25</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Chirala</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52</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52</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260000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250000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26</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Ongole</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133</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114</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570000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19</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65</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325000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27</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Srikakulam</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90</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75</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375000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75000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27</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28</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Vizianagaram</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161</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93</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465000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68</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340000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49</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29</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VMC</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488</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 </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488</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2440000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141</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705000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30</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Bhimavaram</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56</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56</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280000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34</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170000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31</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Eluru</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131</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131</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655000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42</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210000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32</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proofErr w:type="spellStart"/>
            <w:r w:rsidRPr="00876925">
              <w:rPr>
                <w:color w:val="000000"/>
                <w:lang w:val="en-IN" w:eastAsia="en-IN"/>
              </w:rPr>
              <w:t>Tadepalligudem</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38</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38</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190000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18</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90000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 xml:space="preserve">  </w:t>
            </w:r>
          </w:p>
        </w:tc>
        <w:tc>
          <w:tcPr>
            <w:tcW w:w="1282"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rPr>
                <w:color w:val="000000"/>
                <w:lang w:val="en-IN" w:eastAsia="en-IN"/>
              </w:rPr>
            </w:pPr>
            <w:r w:rsidRPr="00876925">
              <w:rPr>
                <w:color w:val="000000"/>
                <w:lang w:val="en-IN" w:eastAsia="en-IN"/>
              </w:rPr>
              <w:t>Total</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b/>
                <w:bCs/>
                <w:color w:val="000000"/>
                <w:lang w:val="en-IN" w:eastAsia="en-IN"/>
              </w:rPr>
            </w:pPr>
            <w:r w:rsidRPr="00876925">
              <w:rPr>
                <w:rFonts w:ascii="Calibri" w:hAnsi="Calibri"/>
                <w:b/>
                <w:bCs/>
                <w:color w:val="000000"/>
                <w:lang w:val="en-IN" w:eastAsia="en-IN"/>
              </w:rPr>
              <w:t>5585</w:t>
            </w:r>
          </w:p>
        </w:tc>
        <w:tc>
          <w:tcPr>
            <w:tcW w:w="1480"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b/>
                <w:bCs/>
                <w:color w:val="000000"/>
                <w:lang w:val="en-IN" w:eastAsia="en-IN"/>
              </w:rPr>
            </w:pPr>
            <w:r w:rsidRPr="00876925">
              <w:rPr>
                <w:b/>
                <w:bCs/>
                <w:color w:val="000000"/>
                <w:lang w:val="en-IN" w:eastAsia="en-IN"/>
              </w:rPr>
              <w:t>2253</w:t>
            </w:r>
          </w:p>
        </w:tc>
        <w:tc>
          <w:tcPr>
            <w:tcW w:w="120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11265000</w:t>
            </w:r>
          </w:p>
        </w:tc>
        <w:tc>
          <w:tcPr>
            <w:tcW w:w="993"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3332</w:t>
            </w:r>
          </w:p>
        </w:tc>
        <w:tc>
          <w:tcPr>
            <w:tcW w:w="1648"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16660000</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1521</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7605000</w:t>
            </w:r>
          </w:p>
        </w:tc>
      </w:tr>
      <w:tr w:rsidR="005105B8" w:rsidRPr="00876925" w:rsidTr="00F26BCF">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105B8" w:rsidRPr="00876925" w:rsidRDefault="005105B8" w:rsidP="00F26BCF">
            <w:pPr>
              <w:jc w:val="center"/>
              <w:rPr>
                <w:rFonts w:ascii="Calibri" w:hAnsi="Calibri"/>
                <w:color w:val="000000"/>
                <w:lang w:val="en-IN" w:eastAsia="en-IN"/>
              </w:rPr>
            </w:pPr>
            <w:r w:rsidRPr="00876925">
              <w:rPr>
                <w:rFonts w:ascii="Calibri" w:hAnsi="Calibri"/>
                <w:color w:val="000000"/>
                <w:sz w:val="22"/>
                <w:szCs w:val="22"/>
                <w:lang w:val="en-IN" w:eastAsia="en-IN"/>
              </w:rPr>
              <w:t> </w:t>
            </w:r>
          </w:p>
        </w:tc>
        <w:tc>
          <w:tcPr>
            <w:tcW w:w="1282"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480"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203"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648"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5105B8" w:rsidRPr="00876925" w:rsidRDefault="005105B8" w:rsidP="00F26BCF">
            <w:pPr>
              <w:rPr>
                <w:rFonts w:ascii="Calibri" w:hAnsi="Calibri"/>
                <w:color w:val="000000"/>
                <w:lang w:val="en-IN" w:eastAsia="en-IN"/>
              </w:rPr>
            </w:pPr>
            <w:r w:rsidRPr="00876925">
              <w:rPr>
                <w:rFonts w:ascii="Calibri" w:hAnsi="Calibri"/>
                <w:color w:val="000000"/>
                <w:sz w:val="22"/>
                <w:szCs w:val="22"/>
                <w:lang w:val="en-IN" w:eastAsia="en-IN"/>
              </w:rPr>
              <w:t> </w:t>
            </w:r>
          </w:p>
        </w:tc>
        <w:tc>
          <w:tcPr>
            <w:tcW w:w="1276" w:type="dxa"/>
            <w:tcBorders>
              <w:top w:val="nil"/>
              <w:left w:val="nil"/>
              <w:bottom w:val="single" w:sz="4" w:space="0" w:color="auto"/>
              <w:right w:val="single" w:sz="4" w:space="0" w:color="auto"/>
            </w:tcBorders>
            <w:shd w:val="clear" w:color="auto" w:fill="auto"/>
            <w:vAlign w:val="bottom"/>
            <w:hideMark/>
          </w:tcPr>
          <w:p w:rsidR="005105B8" w:rsidRPr="00876925" w:rsidRDefault="005105B8" w:rsidP="00F26BCF">
            <w:pPr>
              <w:jc w:val="center"/>
              <w:rPr>
                <w:color w:val="000000"/>
                <w:lang w:val="en-IN" w:eastAsia="en-IN"/>
              </w:rPr>
            </w:pPr>
            <w:r w:rsidRPr="00876925">
              <w:rPr>
                <w:color w:val="000000"/>
                <w:lang w:val="en-IN" w:eastAsia="en-IN"/>
              </w:rPr>
              <w:t> </w:t>
            </w:r>
          </w:p>
        </w:tc>
      </w:tr>
    </w:tbl>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5105B8" w:rsidRDefault="005105B8" w:rsidP="005105B8">
      <w:pPr>
        <w:jc w:val="both"/>
      </w:pPr>
    </w:p>
    <w:p w:rsidR="00072B05" w:rsidRDefault="006E7E16"/>
    <w:sectPr w:rsidR="00072B05" w:rsidSect="00922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58B"/>
    <w:multiLevelType w:val="hybridMultilevel"/>
    <w:tmpl w:val="5F9E9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05B8"/>
    <w:rsid w:val="005105B8"/>
    <w:rsid w:val="006A77F0"/>
    <w:rsid w:val="006E7E16"/>
    <w:rsid w:val="008C4C08"/>
    <w:rsid w:val="00922FD9"/>
    <w:rsid w:val="00FF6D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904</Words>
  <Characters>5155</Characters>
  <Application>Microsoft Office Word</Application>
  <DocSecurity>0</DocSecurity>
  <Lines>42</Lines>
  <Paragraphs>12</Paragraphs>
  <ScaleCrop>false</ScaleCrop>
  <Company>Microsoft</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2015-12-08T12:19:00Z</dcterms:created>
  <dcterms:modified xsi:type="dcterms:W3CDTF">2015-12-09T05:10:00Z</dcterms:modified>
</cp:coreProperties>
</file>