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A" w:rsidRDefault="00462D2A" w:rsidP="00462D2A">
      <w:pPr>
        <w:spacing w:after="120"/>
        <w:contextualSpacing/>
      </w:pPr>
      <w:r>
        <w:rPr>
          <w:noProof/>
          <w:lang w:bidi="te-IN"/>
        </w:rPr>
        <w:drawing>
          <wp:inline distT="0" distB="0" distL="0" distR="0">
            <wp:extent cx="5905500" cy="8382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5905500" cy="838200"/>
                    </a:xfrm>
                    <a:prstGeom prst="rect">
                      <a:avLst/>
                    </a:prstGeom>
                    <a:noFill/>
                    <a:ln w="9525">
                      <a:noFill/>
                      <a:miter lim="800000"/>
                      <a:headEnd/>
                      <a:tailEnd/>
                    </a:ln>
                  </pic:spPr>
                </pic:pic>
              </a:graphicData>
            </a:graphic>
          </wp:inline>
        </w:drawing>
      </w:r>
    </w:p>
    <w:p w:rsidR="00462D2A" w:rsidRPr="00DA067F" w:rsidRDefault="00462D2A" w:rsidP="00462D2A">
      <w:pPr>
        <w:contextualSpacing/>
        <w:jc w:val="both"/>
        <w:rPr>
          <w:sz w:val="12"/>
          <w:szCs w:val="12"/>
        </w:rPr>
      </w:pPr>
    </w:p>
    <w:p w:rsidR="00462D2A" w:rsidRPr="00100FB1" w:rsidRDefault="00462D2A" w:rsidP="00462D2A">
      <w:pPr>
        <w:contextualSpacing/>
        <w:rPr>
          <w:b/>
          <w:bCs/>
          <w:sz w:val="24"/>
          <w:szCs w:val="24"/>
        </w:rPr>
      </w:pPr>
      <w:r w:rsidRPr="00100FB1">
        <w:rPr>
          <w:b/>
          <w:bCs/>
          <w:sz w:val="24"/>
          <w:szCs w:val="24"/>
        </w:rPr>
        <w:t xml:space="preserve">From, </w:t>
      </w:r>
      <w:r w:rsidRPr="00100FB1">
        <w:rPr>
          <w:b/>
          <w:bCs/>
          <w:sz w:val="24"/>
          <w:szCs w:val="24"/>
        </w:rPr>
        <w:tab/>
      </w:r>
      <w:r w:rsidRPr="00100FB1">
        <w:rPr>
          <w:b/>
          <w:bCs/>
          <w:sz w:val="24"/>
          <w:szCs w:val="24"/>
        </w:rPr>
        <w:tab/>
      </w:r>
      <w:r w:rsidRPr="00100FB1">
        <w:rPr>
          <w:b/>
          <w:bCs/>
          <w:sz w:val="24"/>
          <w:szCs w:val="24"/>
        </w:rPr>
        <w:tab/>
      </w:r>
      <w:r w:rsidRPr="00100FB1">
        <w:rPr>
          <w:b/>
          <w:bCs/>
          <w:sz w:val="24"/>
          <w:szCs w:val="24"/>
        </w:rPr>
        <w:tab/>
      </w:r>
      <w:r w:rsidRPr="00100FB1">
        <w:rPr>
          <w:b/>
          <w:bCs/>
          <w:sz w:val="24"/>
          <w:szCs w:val="24"/>
        </w:rPr>
        <w:tab/>
      </w:r>
      <w:r w:rsidRPr="00100FB1">
        <w:rPr>
          <w:b/>
          <w:bCs/>
          <w:sz w:val="24"/>
          <w:szCs w:val="24"/>
        </w:rPr>
        <w:tab/>
      </w:r>
      <w:r w:rsidRPr="00100FB1">
        <w:rPr>
          <w:b/>
          <w:bCs/>
          <w:sz w:val="24"/>
          <w:szCs w:val="24"/>
        </w:rPr>
        <w:tab/>
        <w:t xml:space="preserve">             To,</w:t>
      </w:r>
    </w:p>
    <w:p w:rsidR="00462D2A" w:rsidRDefault="00462D2A" w:rsidP="00462D2A">
      <w:pPr>
        <w:contextualSpacing/>
        <w:rPr>
          <w:sz w:val="24"/>
          <w:szCs w:val="24"/>
        </w:rPr>
      </w:pPr>
      <w:proofErr w:type="spellStart"/>
      <w:r>
        <w:rPr>
          <w:sz w:val="24"/>
          <w:szCs w:val="24"/>
        </w:rPr>
        <w:t>Smt</w:t>
      </w:r>
      <w:proofErr w:type="spellEnd"/>
      <w:r>
        <w:rPr>
          <w:sz w:val="24"/>
          <w:szCs w:val="24"/>
        </w:rPr>
        <w:t xml:space="preserve"> Anita </w:t>
      </w:r>
      <w:proofErr w:type="spellStart"/>
      <w:r>
        <w:rPr>
          <w:sz w:val="24"/>
          <w:szCs w:val="24"/>
        </w:rPr>
        <w:t>Ramchandran</w:t>
      </w:r>
      <w:proofErr w:type="spellEnd"/>
      <w:r w:rsidRPr="00AA7C20">
        <w:rPr>
          <w:sz w:val="24"/>
          <w:szCs w:val="24"/>
        </w:rPr>
        <w:t xml:space="preserve">, </w:t>
      </w:r>
      <w:r>
        <w:rPr>
          <w:sz w:val="24"/>
          <w:szCs w:val="24"/>
        </w:rPr>
        <w:t xml:space="preserve">I.A.S., </w:t>
      </w:r>
      <w:r>
        <w:rPr>
          <w:sz w:val="24"/>
          <w:szCs w:val="24"/>
        </w:rPr>
        <w:tab/>
      </w:r>
      <w:r>
        <w:rPr>
          <w:sz w:val="24"/>
          <w:szCs w:val="24"/>
        </w:rPr>
        <w:tab/>
      </w:r>
      <w:r>
        <w:rPr>
          <w:sz w:val="24"/>
          <w:szCs w:val="24"/>
        </w:rPr>
        <w:tab/>
        <w:t xml:space="preserve">             </w:t>
      </w:r>
      <w:proofErr w:type="gramStart"/>
      <w:r>
        <w:rPr>
          <w:sz w:val="24"/>
          <w:szCs w:val="24"/>
        </w:rPr>
        <w:t>The</w:t>
      </w:r>
      <w:proofErr w:type="gramEnd"/>
      <w:r>
        <w:rPr>
          <w:sz w:val="24"/>
          <w:szCs w:val="24"/>
        </w:rPr>
        <w:t xml:space="preserve"> Project Directors, </w:t>
      </w:r>
    </w:p>
    <w:p w:rsidR="00462D2A" w:rsidRPr="00AA7C20" w:rsidRDefault="00462D2A" w:rsidP="00462D2A">
      <w:pPr>
        <w:tabs>
          <w:tab w:val="left" w:pos="720"/>
          <w:tab w:val="left" w:pos="1440"/>
          <w:tab w:val="left" w:pos="2160"/>
          <w:tab w:val="left" w:pos="2880"/>
          <w:tab w:val="left" w:pos="3600"/>
          <w:tab w:val="left" w:pos="4320"/>
          <w:tab w:val="left" w:pos="5040"/>
          <w:tab w:val="left" w:pos="6285"/>
        </w:tabs>
        <w:contextualSpacing/>
        <w:rPr>
          <w:sz w:val="24"/>
          <w:szCs w:val="24"/>
        </w:rPr>
      </w:pPr>
      <w:r w:rsidRPr="00AA7C20">
        <w:rPr>
          <w:sz w:val="24"/>
          <w:szCs w:val="24"/>
        </w:rPr>
        <w:t>Mission Director, MEPMA</w:t>
      </w:r>
      <w:r w:rsidRPr="00AA7C20">
        <w:rPr>
          <w:sz w:val="24"/>
          <w:szCs w:val="24"/>
        </w:rPr>
        <w:tab/>
      </w:r>
      <w:r>
        <w:rPr>
          <w:sz w:val="24"/>
          <w:szCs w:val="24"/>
        </w:rPr>
        <w:t xml:space="preserve"> </w:t>
      </w:r>
      <w:r>
        <w:rPr>
          <w:sz w:val="24"/>
          <w:szCs w:val="24"/>
        </w:rPr>
        <w:tab/>
      </w:r>
      <w:r>
        <w:rPr>
          <w:sz w:val="24"/>
          <w:szCs w:val="24"/>
        </w:rPr>
        <w:tab/>
      </w:r>
      <w:r>
        <w:rPr>
          <w:sz w:val="24"/>
          <w:szCs w:val="24"/>
        </w:rPr>
        <w:tab/>
        <w:t xml:space="preserve">             MEPMA,</w:t>
      </w:r>
    </w:p>
    <w:p w:rsidR="00462D2A" w:rsidRDefault="00462D2A" w:rsidP="00462D2A">
      <w:pPr>
        <w:contextualSpacing/>
        <w:rPr>
          <w:sz w:val="24"/>
          <w:szCs w:val="24"/>
        </w:rPr>
      </w:pPr>
      <w:r>
        <w:rPr>
          <w:sz w:val="24"/>
          <w:szCs w:val="24"/>
        </w:rPr>
        <w:t>Hyderabad</w:t>
      </w:r>
      <w:r w:rsidRPr="003864C7">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7C20">
        <w:rPr>
          <w:sz w:val="24"/>
          <w:szCs w:val="24"/>
        </w:rPr>
        <w:tab/>
      </w:r>
      <w:r>
        <w:rPr>
          <w:sz w:val="24"/>
          <w:szCs w:val="24"/>
        </w:rPr>
        <w:t xml:space="preserve"> </w:t>
      </w:r>
      <w:proofErr w:type="spellStart"/>
      <w:r>
        <w:rPr>
          <w:sz w:val="24"/>
          <w:szCs w:val="24"/>
        </w:rPr>
        <w:t>Srikakulam</w:t>
      </w:r>
      <w:proofErr w:type="gramStart"/>
      <w:r>
        <w:rPr>
          <w:sz w:val="24"/>
          <w:szCs w:val="24"/>
        </w:rPr>
        <w:t>,Visakhapatnam</w:t>
      </w:r>
      <w:proofErr w:type="spellEnd"/>
      <w:proofErr w:type="gramEnd"/>
      <w:r>
        <w:rPr>
          <w:sz w:val="24"/>
          <w:szCs w:val="24"/>
        </w:rPr>
        <w:t>,</w:t>
      </w:r>
      <w:r w:rsidRPr="00AA7C20">
        <w:rPr>
          <w:sz w:val="24"/>
          <w:szCs w:val="24"/>
        </w:rPr>
        <w:tab/>
      </w:r>
      <w:r>
        <w:rPr>
          <w:sz w:val="24"/>
          <w:szCs w:val="24"/>
        </w:rPr>
        <w:tab/>
      </w:r>
      <w:r>
        <w:rPr>
          <w:sz w:val="24"/>
          <w:szCs w:val="24"/>
        </w:rPr>
        <w:tab/>
      </w:r>
      <w:r>
        <w:rPr>
          <w:sz w:val="24"/>
          <w:szCs w:val="24"/>
        </w:rPr>
        <w:tab/>
      </w:r>
      <w:r>
        <w:rPr>
          <w:sz w:val="24"/>
          <w:szCs w:val="24"/>
        </w:rPr>
        <w:tab/>
        <w:t xml:space="preserve">                                                 Nellore, Chittoor,                               </w:t>
      </w:r>
    </w:p>
    <w:p w:rsidR="00462D2A" w:rsidRDefault="00462D2A" w:rsidP="00462D2A">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Khammam</w:t>
      </w:r>
      <w:proofErr w:type="gramStart"/>
      <w:r>
        <w:rPr>
          <w:sz w:val="24"/>
          <w:szCs w:val="24"/>
        </w:rPr>
        <w:t>,Warangal</w:t>
      </w:r>
      <w:proofErr w:type="spellEnd"/>
      <w:proofErr w:type="gramEnd"/>
      <w:r>
        <w:rPr>
          <w:sz w:val="24"/>
          <w:szCs w:val="24"/>
        </w:rPr>
        <w:t>,</w:t>
      </w:r>
    </w:p>
    <w:p w:rsidR="00462D2A" w:rsidRDefault="00462D2A" w:rsidP="00462D2A">
      <w:pPr>
        <w:ind w:left="1440"/>
        <w:contextualSpacing/>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w:t>
      </w:r>
      <w:proofErr w:type="spellStart"/>
      <w:r>
        <w:rPr>
          <w:sz w:val="24"/>
          <w:szCs w:val="24"/>
        </w:rPr>
        <w:t>Nalgonda</w:t>
      </w:r>
      <w:proofErr w:type="spellEnd"/>
      <w:r>
        <w:rPr>
          <w:sz w:val="24"/>
          <w:szCs w:val="24"/>
        </w:rPr>
        <w:t xml:space="preserve">, </w:t>
      </w:r>
      <w:proofErr w:type="spellStart"/>
      <w:r>
        <w:rPr>
          <w:sz w:val="24"/>
          <w:szCs w:val="24"/>
        </w:rPr>
        <w:t>Medak</w:t>
      </w:r>
      <w:proofErr w:type="spellEnd"/>
      <w:r>
        <w:rPr>
          <w:sz w:val="24"/>
          <w:szCs w:val="24"/>
        </w:rPr>
        <w:t xml:space="preserve"> and    </w:t>
      </w:r>
    </w:p>
    <w:p w:rsidR="00462D2A" w:rsidRDefault="00462D2A" w:rsidP="00462D2A">
      <w:pPr>
        <w:ind w:left="1440"/>
        <w:contextualSpacing/>
        <w:rPr>
          <w:sz w:val="24"/>
          <w:szCs w:val="24"/>
        </w:rPr>
      </w:pPr>
      <w:r>
        <w:rPr>
          <w:sz w:val="24"/>
          <w:szCs w:val="24"/>
        </w:rPr>
        <w:t xml:space="preserve">                                                                         </w:t>
      </w:r>
      <w:proofErr w:type="spellStart"/>
      <w:proofErr w:type="gramStart"/>
      <w:r>
        <w:rPr>
          <w:sz w:val="24"/>
          <w:szCs w:val="24"/>
        </w:rPr>
        <w:t>Kadapa</w:t>
      </w:r>
      <w:proofErr w:type="spellEnd"/>
      <w:r>
        <w:rPr>
          <w:sz w:val="24"/>
          <w:szCs w:val="24"/>
        </w:rPr>
        <w:t xml:space="preserve"> Districts.</w:t>
      </w:r>
      <w:proofErr w:type="gramEnd"/>
      <w:r>
        <w:rPr>
          <w:sz w:val="24"/>
          <w:szCs w:val="24"/>
        </w:rPr>
        <w:tab/>
      </w:r>
    </w:p>
    <w:p w:rsidR="00462D2A" w:rsidRDefault="00462D2A" w:rsidP="00462D2A">
      <w:pPr>
        <w:ind w:left="1440"/>
        <w:contextualSpacing/>
        <w:rPr>
          <w:sz w:val="24"/>
          <w:szCs w:val="24"/>
        </w:rPr>
      </w:pPr>
    </w:p>
    <w:p w:rsidR="00462D2A" w:rsidRPr="00D45F2A" w:rsidRDefault="00462D2A" w:rsidP="00462D2A">
      <w:pPr>
        <w:contextualSpacing/>
        <w:rPr>
          <w:b/>
          <w:bCs/>
          <w:sz w:val="24"/>
          <w:szCs w:val="24"/>
        </w:rPr>
      </w:pPr>
      <w:r w:rsidRPr="00AA7C20">
        <w:rPr>
          <w:sz w:val="24"/>
          <w:szCs w:val="24"/>
        </w:rPr>
        <w:tab/>
      </w:r>
      <w:r>
        <w:rPr>
          <w:sz w:val="24"/>
          <w:szCs w:val="24"/>
        </w:rPr>
        <w:t xml:space="preserve">    </w:t>
      </w:r>
      <w:r>
        <w:rPr>
          <w:sz w:val="24"/>
          <w:szCs w:val="24"/>
        </w:rPr>
        <w:tab/>
      </w:r>
      <w:r>
        <w:rPr>
          <w:sz w:val="24"/>
          <w:szCs w:val="24"/>
        </w:rPr>
        <w:tab/>
        <w:t xml:space="preserve">     </w:t>
      </w:r>
      <w:proofErr w:type="gramStart"/>
      <w:r w:rsidRPr="00D45F2A">
        <w:rPr>
          <w:b/>
          <w:bCs/>
          <w:sz w:val="24"/>
          <w:szCs w:val="24"/>
        </w:rPr>
        <w:t>Roc.</w:t>
      </w:r>
      <w:proofErr w:type="gramEnd"/>
      <w:r w:rsidRPr="00D45F2A">
        <w:rPr>
          <w:b/>
          <w:bCs/>
          <w:sz w:val="24"/>
          <w:szCs w:val="24"/>
        </w:rPr>
        <w:t xml:space="preserve"> No 1216/10/D1 dated</w:t>
      </w:r>
      <w:r>
        <w:rPr>
          <w:b/>
          <w:bCs/>
          <w:sz w:val="24"/>
          <w:szCs w:val="24"/>
        </w:rPr>
        <w:t>: 05</w:t>
      </w:r>
      <w:r w:rsidRPr="00D45F2A">
        <w:rPr>
          <w:b/>
          <w:bCs/>
          <w:sz w:val="24"/>
          <w:szCs w:val="24"/>
        </w:rPr>
        <w:t>-01-2013</w:t>
      </w:r>
      <w:r w:rsidRPr="00D45F2A">
        <w:rPr>
          <w:b/>
          <w:bCs/>
        </w:rPr>
        <w:tab/>
      </w:r>
      <w:r w:rsidRPr="00D45F2A">
        <w:rPr>
          <w:b/>
          <w:bCs/>
        </w:rPr>
        <w:tab/>
      </w:r>
      <w:r w:rsidRPr="00D45F2A">
        <w:rPr>
          <w:b/>
          <w:bCs/>
        </w:rPr>
        <w:tab/>
      </w:r>
      <w:r w:rsidRPr="00D45F2A">
        <w:rPr>
          <w:b/>
          <w:bCs/>
        </w:rPr>
        <w:tab/>
      </w:r>
      <w:r w:rsidRPr="00D45F2A">
        <w:rPr>
          <w:b/>
          <w:bCs/>
        </w:rPr>
        <w:tab/>
      </w:r>
      <w:r w:rsidRPr="00D45F2A">
        <w:rPr>
          <w:b/>
          <w:bCs/>
        </w:rPr>
        <w:tab/>
      </w:r>
      <w:r w:rsidRPr="00D45F2A">
        <w:rPr>
          <w:b/>
          <w:bCs/>
        </w:rPr>
        <w:tab/>
      </w:r>
      <w:r w:rsidRPr="00D45F2A">
        <w:rPr>
          <w:b/>
          <w:bCs/>
        </w:rPr>
        <w:tab/>
        <w:t xml:space="preserve">          </w:t>
      </w:r>
      <w:r w:rsidRPr="00D45F2A">
        <w:rPr>
          <w:b/>
          <w:bCs/>
        </w:rPr>
        <w:tab/>
      </w:r>
    </w:p>
    <w:p w:rsidR="00462D2A" w:rsidRPr="008C3C27" w:rsidRDefault="00462D2A" w:rsidP="00462D2A">
      <w:pPr>
        <w:ind w:left="720"/>
        <w:jc w:val="center"/>
        <w:rPr>
          <w:sz w:val="2"/>
          <w:szCs w:val="2"/>
        </w:rPr>
      </w:pPr>
      <w:r>
        <w:rPr>
          <w:sz w:val="2"/>
          <w:szCs w:val="2"/>
        </w:rPr>
        <w:t>&lt;&lt;</w:t>
      </w:r>
    </w:p>
    <w:tbl>
      <w:tblPr>
        <w:tblpPr w:leftFromText="180" w:rightFromText="180" w:vertAnchor="text" w:tblpY="1"/>
        <w:tblOverlap w:val="never"/>
        <w:tblW w:w="0" w:type="auto"/>
        <w:tblInd w:w="828" w:type="dxa"/>
        <w:tblLook w:val="01E0"/>
      </w:tblPr>
      <w:tblGrid>
        <w:gridCol w:w="1122"/>
        <w:gridCol w:w="6906"/>
      </w:tblGrid>
      <w:tr w:rsidR="00462D2A" w:rsidRPr="00DA7E59" w:rsidTr="00445197">
        <w:trPr>
          <w:trHeight w:val="796"/>
        </w:trPr>
        <w:tc>
          <w:tcPr>
            <w:tcW w:w="1122" w:type="dxa"/>
          </w:tcPr>
          <w:p w:rsidR="00462D2A" w:rsidRPr="00DA7E59" w:rsidRDefault="00462D2A" w:rsidP="00445197">
            <w:pPr>
              <w:jc w:val="both"/>
              <w:rPr>
                <w:b/>
                <w:sz w:val="24"/>
                <w:szCs w:val="24"/>
              </w:rPr>
            </w:pPr>
            <w:r w:rsidRPr="00DA7E59">
              <w:rPr>
                <w:sz w:val="24"/>
                <w:szCs w:val="24"/>
              </w:rPr>
              <w:t xml:space="preserve">  </w:t>
            </w:r>
            <w:r w:rsidRPr="00DA7E59">
              <w:rPr>
                <w:b/>
                <w:sz w:val="24"/>
                <w:szCs w:val="24"/>
              </w:rPr>
              <w:t>Sub:-</w:t>
            </w:r>
          </w:p>
        </w:tc>
        <w:tc>
          <w:tcPr>
            <w:tcW w:w="6906" w:type="dxa"/>
          </w:tcPr>
          <w:p w:rsidR="00462D2A" w:rsidRPr="00AF1768" w:rsidRDefault="00462D2A" w:rsidP="00445197">
            <w:pPr>
              <w:jc w:val="both"/>
            </w:pPr>
            <w:r w:rsidRPr="00DA7E59">
              <w:rPr>
                <w:sz w:val="24"/>
                <w:szCs w:val="24"/>
              </w:rPr>
              <w:t>MEPMA</w:t>
            </w:r>
            <w:r>
              <w:rPr>
                <w:sz w:val="24"/>
                <w:szCs w:val="24"/>
              </w:rPr>
              <w:t xml:space="preserve"> </w:t>
            </w:r>
            <w:r w:rsidRPr="00DA7E59">
              <w:rPr>
                <w:sz w:val="24"/>
                <w:szCs w:val="24"/>
              </w:rPr>
              <w:t>–</w:t>
            </w:r>
            <w:r>
              <w:rPr>
                <w:sz w:val="24"/>
                <w:szCs w:val="24"/>
              </w:rPr>
              <w:t xml:space="preserve"> Release of managerial support to the TLFs – details of resource persons not furnished </w:t>
            </w:r>
            <w:r>
              <w:t>–</w:t>
            </w:r>
            <w:r w:rsidRPr="00191B70">
              <w:t xml:space="preserve"> </w:t>
            </w:r>
            <w:proofErr w:type="spellStart"/>
            <w:r w:rsidRPr="00880FF9">
              <w:rPr>
                <w:sz w:val="24"/>
                <w:szCs w:val="24"/>
              </w:rPr>
              <w:t>Reg</w:t>
            </w:r>
            <w:proofErr w:type="spellEnd"/>
          </w:p>
        </w:tc>
      </w:tr>
    </w:tbl>
    <w:p w:rsidR="00462D2A" w:rsidRDefault="00462D2A" w:rsidP="00462D2A">
      <w:pPr>
        <w:jc w:val="center"/>
        <w:rPr>
          <w:sz w:val="24"/>
          <w:szCs w:val="24"/>
        </w:rPr>
      </w:pPr>
      <w:r>
        <w:rPr>
          <w:sz w:val="24"/>
          <w:szCs w:val="24"/>
        </w:rPr>
        <w:t>&lt;&gt;&lt;&gt;&lt;&gt;</w:t>
      </w:r>
    </w:p>
    <w:p w:rsidR="00462D2A" w:rsidRPr="00DA067F" w:rsidRDefault="00462D2A" w:rsidP="00462D2A">
      <w:pPr>
        <w:jc w:val="center"/>
        <w:rPr>
          <w:sz w:val="12"/>
          <w:szCs w:val="12"/>
        </w:rPr>
      </w:pPr>
    </w:p>
    <w:p w:rsidR="00462D2A" w:rsidRDefault="00462D2A" w:rsidP="00462D2A">
      <w:pPr>
        <w:tabs>
          <w:tab w:val="left" w:pos="5760"/>
        </w:tabs>
        <w:ind w:firstLine="720"/>
        <w:jc w:val="both"/>
        <w:rPr>
          <w:sz w:val="24"/>
          <w:szCs w:val="24"/>
        </w:rPr>
      </w:pPr>
      <w:r>
        <w:rPr>
          <w:sz w:val="24"/>
          <w:szCs w:val="24"/>
        </w:rPr>
        <w:t xml:space="preserve">I invite the attention of the Project Directors, MEPMA, mentioned in the address entry to the subject cited wherein you have been informed to send the names of Resource Persons of TLFs in your respective districts along with their date of joining to this office for release of managerial support to TLFs. </w:t>
      </w:r>
      <w:proofErr w:type="spellStart"/>
      <w:r>
        <w:rPr>
          <w:sz w:val="24"/>
          <w:szCs w:val="24"/>
        </w:rPr>
        <w:t>Inspite</w:t>
      </w:r>
      <w:proofErr w:type="spellEnd"/>
      <w:r>
        <w:rPr>
          <w:sz w:val="24"/>
          <w:szCs w:val="24"/>
        </w:rPr>
        <w:t xml:space="preserve">, reminders you </w:t>
      </w:r>
      <w:proofErr w:type="gramStart"/>
      <w:r>
        <w:rPr>
          <w:sz w:val="24"/>
          <w:szCs w:val="24"/>
        </w:rPr>
        <w:t>have  not</w:t>
      </w:r>
      <w:proofErr w:type="gramEnd"/>
      <w:r>
        <w:rPr>
          <w:sz w:val="24"/>
          <w:szCs w:val="24"/>
        </w:rPr>
        <w:t xml:space="preserve"> submitted the details so far.</w:t>
      </w:r>
    </w:p>
    <w:p w:rsidR="00462D2A" w:rsidRPr="00DA067F" w:rsidRDefault="00462D2A" w:rsidP="00462D2A">
      <w:pPr>
        <w:ind w:firstLine="720"/>
        <w:jc w:val="both"/>
        <w:rPr>
          <w:sz w:val="16"/>
          <w:szCs w:val="16"/>
        </w:rPr>
      </w:pPr>
    </w:p>
    <w:p w:rsidR="00462D2A" w:rsidRDefault="00462D2A" w:rsidP="00462D2A">
      <w:pPr>
        <w:tabs>
          <w:tab w:val="left" w:pos="1020"/>
        </w:tabs>
        <w:ind w:firstLine="720"/>
        <w:jc w:val="both"/>
        <w:rPr>
          <w:sz w:val="24"/>
          <w:szCs w:val="24"/>
        </w:rPr>
      </w:pPr>
      <w:r>
        <w:rPr>
          <w:sz w:val="24"/>
          <w:szCs w:val="24"/>
        </w:rPr>
        <w:tab/>
        <w:t xml:space="preserve">Hence, the Project Directors, MEPMA, </w:t>
      </w:r>
      <w:proofErr w:type="spellStart"/>
      <w:r>
        <w:rPr>
          <w:sz w:val="24"/>
          <w:szCs w:val="24"/>
        </w:rPr>
        <w:t>Srikakulam</w:t>
      </w:r>
      <w:proofErr w:type="spellEnd"/>
      <w:r>
        <w:rPr>
          <w:sz w:val="24"/>
          <w:szCs w:val="24"/>
        </w:rPr>
        <w:t xml:space="preserve">, Visakhapatnam, Nellore, Chittoor, Khammam, Warangal, </w:t>
      </w:r>
      <w:proofErr w:type="spellStart"/>
      <w:r>
        <w:rPr>
          <w:sz w:val="24"/>
          <w:szCs w:val="24"/>
        </w:rPr>
        <w:t>Nalgonda</w:t>
      </w:r>
      <w:proofErr w:type="spellEnd"/>
      <w:r>
        <w:rPr>
          <w:sz w:val="24"/>
          <w:szCs w:val="24"/>
        </w:rPr>
        <w:t xml:space="preserve">, </w:t>
      </w:r>
      <w:proofErr w:type="spellStart"/>
      <w:r>
        <w:rPr>
          <w:sz w:val="24"/>
          <w:szCs w:val="24"/>
        </w:rPr>
        <w:t>Medak</w:t>
      </w:r>
      <w:proofErr w:type="spellEnd"/>
      <w:r>
        <w:rPr>
          <w:sz w:val="24"/>
          <w:szCs w:val="24"/>
        </w:rPr>
        <w:t xml:space="preserve"> and </w:t>
      </w:r>
      <w:proofErr w:type="spellStart"/>
      <w:r>
        <w:rPr>
          <w:sz w:val="24"/>
          <w:szCs w:val="24"/>
        </w:rPr>
        <w:t>Kadapa</w:t>
      </w:r>
      <w:proofErr w:type="spellEnd"/>
      <w:r>
        <w:rPr>
          <w:sz w:val="24"/>
          <w:szCs w:val="24"/>
        </w:rPr>
        <w:t xml:space="preserve"> districts are instructed </w:t>
      </w:r>
      <w:proofErr w:type="gramStart"/>
      <w:r>
        <w:rPr>
          <w:sz w:val="24"/>
          <w:szCs w:val="24"/>
        </w:rPr>
        <w:t>to  submit</w:t>
      </w:r>
      <w:proofErr w:type="gramEnd"/>
      <w:r>
        <w:rPr>
          <w:sz w:val="24"/>
          <w:szCs w:val="24"/>
        </w:rPr>
        <w:t xml:space="preserve"> the names of the resource persons and their joining dates duly certified by the concerned Project Director. Then only, managerial support will be released to the TLFs of those districts.</w:t>
      </w:r>
    </w:p>
    <w:p w:rsidR="00462D2A" w:rsidRDefault="00462D2A" w:rsidP="00462D2A">
      <w:pPr>
        <w:jc w:val="center"/>
        <w:rPr>
          <w:sz w:val="24"/>
          <w:szCs w:val="24"/>
        </w:rPr>
      </w:pPr>
    </w:p>
    <w:p w:rsidR="00462D2A" w:rsidRPr="00DF1872" w:rsidRDefault="00462D2A" w:rsidP="00462D2A">
      <w:pPr>
        <w:tabs>
          <w:tab w:val="left" w:pos="930"/>
        </w:tabs>
        <w:jc w:val="both"/>
        <w:rPr>
          <w:b/>
          <w:bCs/>
          <w:sz w:val="24"/>
          <w:szCs w:val="24"/>
        </w:rPr>
      </w:pP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Pr="00DF1872">
        <w:rPr>
          <w:b/>
          <w:bCs/>
          <w:sz w:val="24"/>
          <w:szCs w:val="24"/>
        </w:rPr>
        <w:t>Sd</w:t>
      </w:r>
      <w:proofErr w:type="gramEnd"/>
      <w:r w:rsidRPr="00DF1872">
        <w:rPr>
          <w:b/>
          <w:bCs/>
          <w:sz w:val="24"/>
          <w:szCs w:val="24"/>
        </w:rPr>
        <w:t xml:space="preserve">/- Anita </w:t>
      </w:r>
      <w:proofErr w:type="spellStart"/>
      <w:r w:rsidRPr="00DF1872">
        <w:rPr>
          <w:b/>
          <w:bCs/>
          <w:sz w:val="24"/>
          <w:szCs w:val="24"/>
        </w:rPr>
        <w:t>Ramchandran</w:t>
      </w:r>
      <w:proofErr w:type="spellEnd"/>
    </w:p>
    <w:p w:rsidR="00462D2A" w:rsidRDefault="00462D2A" w:rsidP="00462D2A">
      <w:pPr>
        <w:jc w:val="both"/>
        <w:rPr>
          <w:b/>
          <w:bCs/>
          <w:sz w:val="24"/>
          <w:szCs w:val="24"/>
        </w:rPr>
      </w:pPr>
      <w:r>
        <w:rPr>
          <w:sz w:val="24"/>
          <w:szCs w:val="24"/>
        </w:rPr>
        <w:t>.</w:t>
      </w:r>
      <w:r>
        <w:rPr>
          <w:sz w:val="24"/>
          <w:szCs w:val="24"/>
        </w:rPr>
        <w:tab/>
      </w:r>
      <w:r>
        <w:rPr>
          <w:sz w:val="24"/>
          <w:szCs w:val="24"/>
        </w:rPr>
        <w:tab/>
        <w:t xml:space="preserve">                                                                              </w:t>
      </w:r>
      <w:r w:rsidRPr="00367FA7">
        <w:rPr>
          <w:b/>
          <w:bCs/>
          <w:sz w:val="24"/>
          <w:szCs w:val="24"/>
        </w:rPr>
        <w:t>MISSION DIRECTOR</w:t>
      </w:r>
    </w:p>
    <w:p w:rsidR="00462D2A" w:rsidRDefault="00462D2A" w:rsidP="00462D2A">
      <w:pPr>
        <w:tabs>
          <w:tab w:val="left" w:pos="720"/>
        </w:tabs>
        <w:jc w:val="right"/>
        <w:rPr>
          <w:b/>
          <w:bCs/>
          <w:sz w:val="24"/>
          <w:szCs w:val="24"/>
        </w:rPr>
      </w:pPr>
    </w:p>
    <w:p w:rsidR="00462D2A" w:rsidRDefault="00462D2A" w:rsidP="00462D2A">
      <w:pPr>
        <w:tabs>
          <w:tab w:val="left" w:pos="720"/>
        </w:tabs>
        <w:jc w:val="right"/>
        <w:rPr>
          <w:b/>
          <w:bCs/>
          <w:sz w:val="24"/>
          <w:szCs w:val="24"/>
        </w:rPr>
      </w:pPr>
    </w:p>
    <w:p w:rsidR="00462D2A" w:rsidRDefault="00462D2A" w:rsidP="00462D2A">
      <w:pPr>
        <w:tabs>
          <w:tab w:val="left" w:pos="720"/>
        </w:tabs>
        <w:jc w:val="right"/>
        <w:rPr>
          <w:b/>
          <w:bCs/>
          <w:sz w:val="24"/>
          <w:szCs w:val="24"/>
        </w:rPr>
      </w:pPr>
    </w:p>
    <w:p w:rsidR="00462D2A" w:rsidRDefault="00462D2A" w:rsidP="00462D2A">
      <w:pPr>
        <w:tabs>
          <w:tab w:val="left" w:pos="720"/>
        </w:tabs>
        <w:jc w:val="center"/>
        <w:rPr>
          <w:b/>
          <w:bCs/>
          <w:sz w:val="24"/>
          <w:szCs w:val="24"/>
        </w:rPr>
      </w:pPr>
    </w:p>
    <w:p w:rsidR="002935DD" w:rsidRDefault="002935DD"/>
    <w:sectPr w:rsidR="002935DD" w:rsidSect="00D269A8">
      <w:pgSz w:w="12240" w:h="15840" w:code="1"/>
      <w:pgMar w:top="907"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1"/>
    <w:family w:val="auto"/>
    <w:pitch w:val="variable"/>
    <w:sig w:usb0="002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62D2A"/>
    <w:rsid w:val="001356BF"/>
    <w:rsid w:val="00144A22"/>
    <w:rsid w:val="002826AD"/>
    <w:rsid w:val="002935DD"/>
    <w:rsid w:val="003331C3"/>
    <w:rsid w:val="003D49F9"/>
    <w:rsid w:val="00462D2A"/>
    <w:rsid w:val="0049579F"/>
    <w:rsid w:val="006054F2"/>
    <w:rsid w:val="00657F3F"/>
    <w:rsid w:val="006F33BE"/>
    <w:rsid w:val="00750991"/>
    <w:rsid w:val="007E378B"/>
    <w:rsid w:val="007F4658"/>
    <w:rsid w:val="00846D72"/>
    <w:rsid w:val="00910E1F"/>
    <w:rsid w:val="009C4CD0"/>
    <w:rsid w:val="009D0D9D"/>
    <w:rsid w:val="00A360E0"/>
    <w:rsid w:val="00A44F55"/>
    <w:rsid w:val="00AF25CB"/>
    <w:rsid w:val="00B57F59"/>
    <w:rsid w:val="00B83760"/>
    <w:rsid w:val="00B84F23"/>
    <w:rsid w:val="00BA1FA1"/>
    <w:rsid w:val="00C55484"/>
    <w:rsid w:val="00CA21CA"/>
    <w:rsid w:val="00CF5D08"/>
    <w:rsid w:val="00D269A8"/>
    <w:rsid w:val="00D8781F"/>
    <w:rsid w:val="00DC2D7A"/>
    <w:rsid w:val="00EB772A"/>
    <w:rsid w:val="00EE46B0"/>
    <w:rsid w:val="00EF3F19"/>
    <w:rsid w:val="00EF61CA"/>
    <w:rsid w:val="00F019B5"/>
    <w:rsid w:val="00F57230"/>
    <w:rsid w:val="00F7305E"/>
    <w:rsid w:val="00FE0BF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2A"/>
    <w:rPr>
      <w:rFonts w:ascii="Times New Roman" w:hAnsi="Times New Roman" w:cs="Times New Roman"/>
      <w:lang w:bidi="ar-SA"/>
    </w:rPr>
  </w:style>
  <w:style w:type="paragraph" w:styleId="Heading1">
    <w:name w:val="heading 1"/>
    <w:basedOn w:val="Normal"/>
    <w:next w:val="Normal"/>
    <w:link w:val="Heading1Char"/>
    <w:qFormat/>
    <w:rsid w:val="00C55484"/>
    <w:pPr>
      <w:keepNext/>
      <w:outlineLvl w:val="0"/>
    </w:pPr>
    <w:rPr>
      <w:sz w:val="24"/>
    </w:rPr>
  </w:style>
  <w:style w:type="paragraph" w:styleId="Heading2">
    <w:name w:val="heading 2"/>
    <w:basedOn w:val="Normal"/>
    <w:next w:val="Normal"/>
    <w:link w:val="Heading2Char"/>
    <w:qFormat/>
    <w:rsid w:val="00C554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55484"/>
    <w:pPr>
      <w:keepNext/>
      <w:spacing w:before="240" w:after="60" w:line="276" w:lineRule="auto"/>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484"/>
    <w:rPr>
      <w:rFonts w:ascii="Times New Roman" w:hAnsi="Times New Roman" w:cs="Times New Roman"/>
      <w:sz w:val="24"/>
      <w:lang w:bidi="ar-SA"/>
    </w:rPr>
  </w:style>
  <w:style w:type="character" w:customStyle="1" w:styleId="Heading2Char">
    <w:name w:val="Heading 2 Char"/>
    <w:basedOn w:val="DefaultParagraphFont"/>
    <w:link w:val="Heading2"/>
    <w:rsid w:val="00C55484"/>
    <w:rPr>
      <w:rFonts w:ascii="Arial" w:hAnsi="Arial" w:cs="Arial"/>
      <w:b/>
      <w:bCs/>
      <w:i/>
      <w:iCs/>
      <w:sz w:val="28"/>
      <w:szCs w:val="28"/>
      <w:lang w:bidi="ar-SA"/>
    </w:rPr>
  </w:style>
  <w:style w:type="character" w:customStyle="1" w:styleId="Heading3Char">
    <w:name w:val="Heading 3 Char"/>
    <w:basedOn w:val="DefaultParagraphFont"/>
    <w:link w:val="Heading3"/>
    <w:uiPriority w:val="9"/>
    <w:rsid w:val="00C55484"/>
    <w:rPr>
      <w:rFonts w:ascii="Cambria" w:eastAsia="Times New Roman" w:hAnsi="Cambria" w:cs="Gautami"/>
      <w:b/>
      <w:bCs/>
      <w:sz w:val="26"/>
      <w:szCs w:val="26"/>
    </w:rPr>
  </w:style>
  <w:style w:type="paragraph" w:styleId="NoSpacing">
    <w:name w:val="No Spacing"/>
    <w:uiPriority w:val="1"/>
    <w:qFormat/>
    <w:rsid w:val="00C55484"/>
    <w:rPr>
      <w:sz w:val="22"/>
      <w:szCs w:val="22"/>
    </w:rPr>
  </w:style>
  <w:style w:type="paragraph" w:styleId="ListParagraph">
    <w:name w:val="List Paragraph"/>
    <w:basedOn w:val="Normal"/>
    <w:uiPriority w:val="34"/>
    <w:qFormat/>
    <w:rsid w:val="00C55484"/>
    <w:pPr>
      <w:ind w:left="720"/>
    </w:pPr>
    <w:rPr>
      <w:sz w:val="24"/>
      <w:szCs w:val="24"/>
    </w:rPr>
  </w:style>
  <w:style w:type="character" w:styleId="Hyperlink">
    <w:name w:val="Hyperlink"/>
    <w:basedOn w:val="DefaultParagraphFont"/>
    <w:rsid w:val="00462D2A"/>
    <w:rPr>
      <w:color w:val="0000FF"/>
      <w:u w:val="single"/>
    </w:rPr>
  </w:style>
  <w:style w:type="paragraph" w:styleId="BalloonText">
    <w:name w:val="Balloon Text"/>
    <w:basedOn w:val="Normal"/>
    <w:link w:val="BalloonTextChar"/>
    <w:uiPriority w:val="99"/>
    <w:semiHidden/>
    <w:unhideWhenUsed/>
    <w:rsid w:val="00462D2A"/>
    <w:rPr>
      <w:rFonts w:ascii="Tahoma" w:hAnsi="Tahoma" w:cs="Tahoma"/>
      <w:sz w:val="16"/>
      <w:szCs w:val="16"/>
    </w:rPr>
  </w:style>
  <w:style w:type="character" w:customStyle="1" w:styleId="BalloonTextChar">
    <w:name w:val="Balloon Text Char"/>
    <w:basedOn w:val="DefaultParagraphFont"/>
    <w:link w:val="BalloonText"/>
    <w:uiPriority w:val="99"/>
    <w:semiHidden/>
    <w:rsid w:val="00462D2A"/>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mepma</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deo</cp:lastModifiedBy>
  <cp:revision>1</cp:revision>
  <dcterms:created xsi:type="dcterms:W3CDTF">2013-01-09T10:58:00Z</dcterms:created>
  <dcterms:modified xsi:type="dcterms:W3CDTF">2013-01-09T10:59:00Z</dcterms:modified>
</cp:coreProperties>
</file>